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34595A0">
      <w:pPr>
        <w:pStyle w:val="6"/>
        <w:keepNext/>
        <w:keepLines/>
        <w:pageBreakBefore w:val="0"/>
        <w:widowControl w:val="0"/>
        <w:kinsoku/>
        <w:wordWrap/>
        <w:overflowPunct/>
        <w:topLinePunct w:val="0"/>
        <w:autoSpaceDE/>
        <w:autoSpaceDN/>
        <w:bidi w:val="0"/>
        <w:adjustRightInd/>
        <w:snapToGrid/>
        <w:spacing w:line="560" w:lineRule="exact"/>
        <w:jc w:val="center"/>
        <w:textAlignment w:val="auto"/>
        <w:rPr>
          <w:rFonts w:hint="eastAsia" w:ascii="黑体" w:hAnsi="黑体" w:eastAsia="黑体" w:cs="黑体"/>
          <w:sz w:val="36"/>
          <w:szCs w:val="36"/>
          <w:lang w:val="en-US" w:eastAsia="zh-CN"/>
        </w:rPr>
      </w:pPr>
      <w:r>
        <w:rPr>
          <w:rFonts w:hint="eastAsia" w:ascii="黑体" w:hAnsi="黑体" w:eastAsia="黑体" w:cs="黑体"/>
          <w:sz w:val="36"/>
          <w:szCs w:val="36"/>
        </w:rPr>
        <w:t>合肥市图书馆</w:t>
      </w:r>
      <w:r>
        <w:rPr>
          <w:rFonts w:hint="eastAsia" w:ascii="黑体" w:hAnsi="黑体" w:eastAsia="黑体" w:cs="黑体"/>
          <w:sz w:val="36"/>
          <w:szCs w:val="36"/>
          <w:lang w:val="en-US" w:eastAsia="zh-CN"/>
        </w:rPr>
        <w:t>工会会员2026年</w:t>
      </w:r>
    </w:p>
    <w:p w14:paraId="74F75021">
      <w:pPr>
        <w:pStyle w:val="6"/>
        <w:keepNext/>
        <w:keepLines/>
        <w:pageBreakBefore w:val="0"/>
        <w:widowControl w:val="0"/>
        <w:kinsoku/>
        <w:wordWrap/>
        <w:overflowPunct/>
        <w:topLinePunct w:val="0"/>
        <w:autoSpaceDE/>
        <w:autoSpaceDN/>
        <w:bidi w:val="0"/>
        <w:adjustRightInd/>
        <w:snapToGrid/>
        <w:spacing w:line="560" w:lineRule="exact"/>
        <w:jc w:val="center"/>
        <w:textAlignment w:val="auto"/>
        <w:rPr>
          <w:rFonts w:hint="eastAsia" w:ascii="黑体" w:hAnsi="黑体" w:eastAsia="黑体" w:cs="黑体"/>
          <w:sz w:val="24"/>
          <w:szCs w:val="24"/>
          <w:lang w:val="en-US" w:eastAsia="zh-CN"/>
        </w:rPr>
      </w:pPr>
      <w:bookmarkStart w:id="9" w:name="_GoBack"/>
      <w:r>
        <w:rPr>
          <w:rFonts w:hint="eastAsia" w:ascii="黑体" w:hAnsi="黑体" w:eastAsia="黑体" w:cs="黑体"/>
          <w:sz w:val="36"/>
          <w:szCs w:val="36"/>
          <w:lang w:val="en-US" w:eastAsia="zh-CN"/>
        </w:rPr>
        <w:t>端午节慰问品提货券采购比选</w:t>
      </w:r>
      <w:bookmarkEnd w:id="9"/>
      <w:r>
        <w:rPr>
          <w:rFonts w:hint="eastAsia" w:ascii="黑体" w:hAnsi="黑体" w:eastAsia="黑体" w:cs="黑体"/>
          <w:sz w:val="36"/>
          <w:szCs w:val="36"/>
          <w:lang w:val="en-US" w:eastAsia="zh-CN"/>
        </w:rPr>
        <w:t>公告</w:t>
      </w:r>
    </w:p>
    <w:p w14:paraId="0C6BE5A3">
      <w:pPr>
        <w:pageBreakBefore w:val="0"/>
        <w:widowControl/>
        <w:kinsoku/>
        <w:wordWrap/>
        <w:overflowPunct/>
        <w:topLinePunct w:val="0"/>
        <w:bidi w:val="0"/>
        <w:spacing w:line="560" w:lineRule="exact"/>
        <w:jc w:val="center"/>
        <w:textAlignment w:val="auto"/>
        <w:rPr>
          <w:rFonts w:hint="eastAsia" w:ascii="仿宋_GB2312" w:hAnsi="仿宋_GB2312" w:eastAsia="仿宋_GB2312" w:cs="仿宋_GB2312"/>
          <w:sz w:val="24"/>
          <w:szCs w:val="24"/>
        </w:rPr>
      </w:pPr>
    </w:p>
    <w:p w14:paraId="49CAEEFF">
      <w:pPr>
        <w:pageBreakBefore w:val="0"/>
        <w:widowControl/>
        <w:kinsoku/>
        <w:wordWrap/>
        <w:overflowPunct/>
        <w:topLinePunct w:val="0"/>
        <w:bidi w:val="0"/>
        <w:spacing w:line="560" w:lineRule="exact"/>
        <w:jc w:val="lef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供应商：</w:t>
      </w:r>
    </w:p>
    <w:p w14:paraId="5BEA20E3">
      <w:pPr>
        <w:pageBreakBefore w:val="0"/>
        <w:kinsoku/>
        <w:wordWrap/>
        <w:overflowPunct/>
        <w:topLinePunct w:val="0"/>
        <w:bidi w:val="0"/>
        <w:spacing w:line="560" w:lineRule="exact"/>
        <w:ind w:firstLine="630"/>
        <w:textAlignment w:val="auto"/>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rPr>
        <w:t>现对合肥市</w:t>
      </w:r>
      <w:r>
        <w:rPr>
          <w:rFonts w:hint="eastAsia" w:ascii="仿宋_GB2312" w:hAnsi="仿宋_GB2312" w:eastAsia="仿宋_GB2312" w:cs="仿宋_GB2312"/>
          <w:sz w:val="28"/>
          <w:szCs w:val="28"/>
          <w:lang w:val="en-US" w:eastAsia="zh-CN"/>
        </w:rPr>
        <w:t>图书馆工会会员2026年端午节慰问品提货券</w:t>
      </w:r>
      <w:r>
        <w:rPr>
          <w:rFonts w:hint="eastAsia" w:ascii="仿宋_GB2312" w:hAnsi="仿宋_GB2312" w:eastAsia="仿宋_GB2312" w:cs="仿宋_GB2312"/>
          <w:sz w:val="28"/>
          <w:szCs w:val="28"/>
        </w:rPr>
        <w:t>采购进行比选</w:t>
      </w:r>
      <w:r>
        <w:rPr>
          <w:rFonts w:hint="eastAsia" w:ascii="仿宋_GB2312" w:hAnsi="仿宋_GB2312" w:eastAsia="仿宋_GB2312" w:cs="仿宋_GB2312"/>
          <w:sz w:val="28"/>
        </w:rPr>
        <w:t>，</w:t>
      </w:r>
      <w:r>
        <w:rPr>
          <w:rFonts w:hint="eastAsia" w:ascii="仿宋_GB2312" w:hAnsi="仿宋_GB2312" w:eastAsia="仿宋_GB2312" w:cs="仿宋_GB2312"/>
          <w:sz w:val="28"/>
          <w:szCs w:val="28"/>
        </w:rPr>
        <w:t>请按</w:t>
      </w:r>
      <w:r>
        <w:rPr>
          <w:rFonts w:hint="eastAsia" w:ascii="仿宋_GB2312" w:hAnsi="仿宋_GB2312" w:eastAsia="仿宋_GB2312" w:cs="仿宋_GB2312"/>
          <w:sz w:val="28"/>
          <w:szCs w:val="28"/>
          <w:lang w:val="en-US" w:eastAsia="zh-CN"/>
        </w:rPr>
        <w:t>合肥市图书馆比选公告</w:t>
      </w:r>
      <w:r>
        <w:rPr>
          <w:rFonts w:hint="eastAsia" w:ascii="仿宋_GB2312" w:hAnsi="仿宋_GB2312" w:eastAsia="仿宋_GB2312" w:cs="仿宋_GB2312"/>
          <w:sz w:val="28"/>
          <w:szCs w:val="28"/>
        </w:rPr>
        <w:t>要求于</w:t>
      </w:r>
      <w:r>
        <w:rPr>
          <w:rFonts w:hint="eastAsia" w:ascii="仿宋_GB2312" w:hAnsi="仿宋_GB2312" w:eastAsia="仿宋_GB2312" w:cs="仿宋_GB2312"/>
          <w:sz w:val="28"/>
          <w:szCs w:val="28"/>
          <w:lang w:val="en-US" w:eastAsia="zh-CN"/>
        </w:rPr>
        <w:t>2026</w:t>
      </w:r>
      <w:r>
        <w:rPr>
          <w:rFonts w:hint="eastAsia" w:ascii="仿宋_GB2312" w:hAnsi="仿宋_GB2312" w:eastAsia="仿宋_GB2312" w:cs="仿宋_GB2312"/>
          <w:sz w:val="28"/>
          <w:szCs w:val="28"/>
        </w:rPr>
        <w:t>年</w:t>
      </w:r>
      <w:r>
        <w:rPr>
          <w:rFonts w:hint="eastAsia" w:ascii="仿宋_GB2312" w:hAnsi="仿宋_GB2312" w:eastAsia="仿宋_GB2312" w:cs="仿宋_GB2312"/>
          <w:sz w:val="28"/>
          <w:szCs w:val="28"/>
          <w:lang w:val="en-US" w:eastAsia="zh-CN"/>
        </w:rPr>
        <w:t>6</w:t>
      </w:r>
      <w:r>
        <w:rPr>
          <w:rFonts w:hint="eastAsia" w:ascii="仿宋_GB2312" w:hAnsi="仿宋_GB2312" w:eastAsia="仿宋_GB2312" w:cs="仿宋_GB2312"/>
          <w:sz w:val="28"/>
          <w:szCs w:val="28"/>
        </w:rPr>
        <w:t>月</w:t>
      </w:r>
      <w:r>
        <w:rPr>
          <w:rFonts w:hint="eastAsia" w:ascii="仿宋_GB2312" w:hAnsi="仿宋_GB2312" w:eastAsia="仿宋_GB2312" w:cs="仿宋_GB2312"/>
          <w:sz w:val="28"/>
          <w:szCs w:val="28"/>
          <w:lang w:val="en-US" w:eastAsia="zh-CN"/>
        </w:rPr>
        <w:t>8</w:t>
      </w:r>
      <w:r>
        <w:rPr>
          <w:rFonts w:hint="eastAsia" w:ascii="仿宋_GB2312" w:hAnsi="仿宋_GB2312" w:eastAsia="仿宋_GB2312" w:cs="仿宋_GB2312"/>
          <w:sz w:val="28"/>
          <w:szCs w:val="28"/>
        </w:rPr>
        <w:t>日</w:t>
      </w:r>
      <w:r>
        <w:rPr>
          <w:rFonts w:hint="eastAsia" w:ascii="仿宋_GB2312" w:hAnsi="仿宋_GB2312" w:eastAsia="仿宋_GB2312" w:cs="仿宋_GB2312"/>
          <w:sz w:val="28"/>
          <w:szCs w:val="28"/>
          <w:lang w:val="en-US" w:eastAsia="zh-CN"/>
        </w:rPr>
        <w:t>10:00</w:t>
      </w:r>
      <w:r>
        <w:rPr>
          <w:rFonts w:hint="eastAsia" w:ascii="仿宋_GB2312" w:hAnsi="仿宋_GB2312" w:eastAsia="仿宋_GB2312" w:cs="仿宋_GB2312"/>
          <w:sz w:val="28"/>
          <w:szCs w:val="28"/>
        </w:rPr>
        <w:t>前将报价文件盖章密封后送至合肥市图书馆</w:t>
      </w:r>
      <w:r>
        <w:rPr>
          <w:rFonts w:hint="eastAsia" w:ascii="仿宋_GB2312" w:hAnsi="仿宋_GB2312" w:eastAsia="仿宋_GB2312" w:cs="仿宋_GB2312"/>
          <w:sz w:val="28"/>
          <w:szCs w:val="28"/>
          <w:lang w:eastAsia="zh-CN"/>
        </w:rPr>
        <w:t>。</w:t>
      </w:r>
    </w:p>
    <w:p w14:paraId="5EA3D485">
      <w:pPr>
        <w:pageBreakBefore w:val="0"/>
        <w:kinsoku/>
        <w:wordWrap/>
        <w:overflowPunct/>
        <w:topLinePunct w:val="0"/>
        <w:bidi w:val="0"/>
        <w:spacing w:line="560" w:lineRule="exact"/>
        <w:ind w:firstLine="630"/>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rPr>
        <w:t>联系人：</w:t>
      </w:r>
      <w:r>
        <w:rPr>
          <w:rFonts w:hint="eastAsia" w:ascii="仿宋_GB2312" w:hAnsi="仿宋_GB2312" w:eastAsia="仿宋_GB2312" w:cs="仿宋_GB2312"/>
          <w:sz w:val="28"/>
          <w:szCs w:val="28"/>
          <w:lang w:val="en-US" w:eastAsia="zh-CN"/>
        </w:rPr>
        <w:t>祝老师</w:t>
      </w:r>
    </w:p>
    <w:p w14:paraId="4A097701">
      <w:pPr>
        <w:pageBreakBefore w:val="0"/>
        <w:kinsoku/>
        <w:wordWrap/>
        <w:overflowPunct/>
        <w:topLinePunct w:val="0"/>
        <w:bidi w:val="0"/>
        <w:spacing w:line="560" w:lineRule="exact"/>
        <w:ind w:firstLine="630"/>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rPr>
        <w:t>电话：</w:t>
      </w:r>
      <w:r>
        <w:rPr>
          <w:rFonts w:hint="eastAsia" w:ascii="仿宋_GB2312" w:hAnsi="仿宋_GB2312" w:eastAsia="仿宋_GB2312" w:cs="仿宋_GB2312"/>
          <w:sz w:val="28"/>
          <w:szCs w:val="28"/>
          <w:lang w:val="en-US" w:eastAsia="zh-CN"/>
        </w:rPr>
        <w:t>0551-65623230转8311（工作日8:30-12:00,14:00-17:30）</w:t>
      </w:r>
    </w:p>
    <w:p w14:paraId="1980DC66">
      <w:pPr>
        <w:pageBreakBefore w:val="0"/>
        <w:kinsoku/>
        <w:wordWrap/>
        <w:overflowPunct/>
        <w:topLinePunct w:val="0"/>
        <w:bidi w:val="0"/>
        <w:spacing w:line="560" w:lineRule="exact"/>
        <w:ind w:firstLine="630"/>
        <w:textAlignment w:val="auto"/>
        <w:rPr>
          <w:rFonts w:hint="default"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地址：安徽省合肥市蜀山区琥珀山庄北口一号合肥市图书馆</w:t>
      </w:r>
    </w:p>
    <w:p w14:paraId="151C7231">
      <w:pPr>
        <w:pStyle w:val="16"/>
        <w:pageBreakBefore w:val="0"/>
        <w:numPr>
          <w:ilvl w:val="0"/>
          <w:numId w:val="0"/>
        </w:numPr>
        <w:kinsoku/>
        <w:wordWrap/>
        <w:overflowPunct/>
        <w:topLinePunct w:val="0"/>
        <w:bidi w:val="0"/>
        <w:spacing w:line="560" w:lineRule="exact"/>
        <w:ind w:left="762" w:leftChars="181" w:hanging="382" w:hangingChars="136"/>
        <w:textAlignment w:val="auto"/>
        <w:outlineLvl w:val="0"/>
        <w:rPr>
          <w:rFonts w:hint="eastAsia" w:ascii="仿宋_GB2312" w:hAnsi="仿宋_GB2312" w:eastAsia="仿宋_GB2312" w:cs="仿宋_GB2312"/>
          <w:b/>
          <w:bCs/>
          <w:sz w:val="28"/>
          <w:szCs w:val="28"/>
          <w:lang w:val="en-US" w:eastAsia="zh-CN"/>
        </w:rPr>
      </w:pPr>
      <w:r>
        <w:rPr>
          <w:rFonts w:hint="eastAsia" w:ascii="仿宋_GB2312" w:hAnsi="仿宋_GB2312" w:eastAsia="仿宋_GB2312" w:cs="仿宋_GB2312"/>
          <w:b/>
          <w:bCs/>
          <w:kern w:val="2"/>
          <w:sz w:val="28"/>
          <w:szCs w:val="28"/>
          <w:lang w:val="en-US" w:eastAsia="zh-CN" w:bidi="ar-SA"/>
        </w:rPr>
        <w:t>一、</w:t>
      </w:r>
      <w:r>
        <w:rPr>
          <w:rFonts w:hint="eastAsia" w:ascii="仿宋_GB2312" w:hAnsi="仿宋_GB2312" w:eastAsia="仿宋_GB2312" w:cs="仿宋_GB2312"/>
          <w:b/>
          <w:bCs/>
          <w:sz w:val="28"/>
          <w:szCs w:val="28"/>
          <w:lang w:val="en-US" w:eastAsia="zh-CN"/>
        </w:rPr>
        <w:t>比选内容</w:t>
      </w:r>
    </w:p>
    <w:p w14:paraId="244A12A0">
      <w:pPr>
        <w:pageBreakBefore w:val="0"/>
        <w:kinsoku/>
        <w:wordWrap/>
        <w:overflowPunct/>
        <w:topLinePunct w:val="0"/>
        <w:bidi w:val="0"/>
        <w:spacing w:line="560" w:lineRule="exact"/>
        <w:ind w:firstLine="630"/>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1、采购内容：2026年端午节慰问品提货券。每张提货券价值500元，共计79人，总价39500元（最终结算以实际采购数量为准）。</w:t>
      </w:r>
    </w:p>
    <w:p w14:paraId="0399CE95">
      <w:pPr>
        <w:pageBreakBefore w:val="0"/>
        <w:kinsoku/>
        <w:wordWrap/>
        <w:overflowPunct/>
        <w:topLinePunct w:val="0"/>
        <w:bidi w:val="0"/>
        <w:spacing w:line="560" w:lineRule="exact"/>
        <w:ind w:firstLine="630"/>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2、基本要求：</w:t>
      </w:r>
    </w:p>
    <w:p w14:paraId="7BBC9844">
      <w:pPr>
        <w:pageBreakBefore w:val="0"/>
        <w:kinsoku/>
        <w:wordWrap/>
        <w:overflowPunct/>
        <w:topLinePunct w:val="0"/>
        <w:bidi w:val="0"/>
        <w:spacing w:line="560" w:lineRule="exact"/>
        <w:ind w:firstLine="630"/>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1）端午节慰问品提货券可在供货商提供服务的线下连锁门店及官方线上购买平台通用，可购买店内符合中国传统节日习惯的用品和必需的生活用品，具体包括但不限于：粮油面点、果蔬肉禽、乳品烘焙、零食饮料、个护日化等，所有商品需符合国家食品安全标准及产品质量标准，提供产品合格证书及检测报告（如有）。</w:t>
      </w:r>
    </w:p>
    <w:p w14:paraId="716E3134">
      <w:pPr>
        <w:pageBreakBefore w:val="0"/>
        <w:kinsoku/>
        <w:wordWrap/>
        <w:overflowPunct/>
        <w:topLinePunct w:val="0"/>
        <w:bidi w:val="0"/>
        <w:spacing w:line="560" w:lineRule="exact"/>
        <w:ind w:firstLine="630"/>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（2）提货券可以同时享受店内所有会员优惠和促销活动，不得设置使用门槛（如要求消费下限、强行搭配销售等）。</w:t>
      </w:r>
    </w:p>
    <w:p w14:paraId="7F1F531A">
      <w:pPr>
        <w:pageBreakBefore w:val="0"/>
        <w:kinsoku/>
        <w:wordWrap/>
        <w:overflowPunct/>
        <w:topLinePunct w:val="0"/>
        <w:bidi w:val="0"/>
        <w:spacing w:line="560" w:lineRule="exact"/>
        <w:ind w:firstLine="630"/>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（3）提货券需支持在合肥市主城区的永辉超市、合家福超市、红府超市、盒马鲜生、大润发、中商罗森、生鲜传奇中至少四个品牌的所有正规门店进行提货。</w:t>
      </w:r>
    </w:p>
    <w:p w14:paraId="7C4E2C3F">
      <w:pPr>
        <w:pageBreakBefore w:val="0"/>
        <w:kinsoku/>
        <w:wordWrap/>
        <w:overflowPunct/>
        <w:topLinePunct w:val="0"/>
        <w:bidi w:val="0"/>
        <w:spacing w:line="560" w:lineRule="exact"/>
        <w:ind w:firstLine="630"/>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（4）提货券需印刷清晰的使用规则、有效期、供货商联系方式、售后咨询电话等关键信息，采用防伪设计。</w:t>
      </w:r>
    </w:p>
    <w:p w14:paraId="5F48C21F">
      <w:pPr>
        <w:pageBreakBefore w:val="0"/>
        <w:kinsoku/>
        <w:wordWrap/>
        <w:overflowPunct/>
        <w:topLinePunct w:val="0"/>
        <w:bidi w:val="0"/>
        <w:spacing w:line="560" w:lineRule="exact"/>
        <w:ind w:firstLine="630"/>
        <w:textAlignment w:val="auto"/>
        <w:rPr>
          <w:rFonts w:hint="default"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（5）提货券使用流程简便，可分次使用，也可以一次性使用，有效期不低于36个月，确保接收对象有充足时间使用。</w:t>
      </w:r>
    </w:p>
    <w:p w14:paraId="6C36C4E1">
      <w:pPr>
        <w:pageBreakBefore w:val="0"/>
        <w:kinsoku/>
        <w:wordWrap/>
        <w:overflowPunct/>
        <w:topLinePunct w:val="0"/>
        <w:bidi w:val="0"/>
        <w:spacing w:line="560" w:lineRule="exact"/>
        <w:ind w:firstLine="630"/>
        <w:textAlignment w:val="auto"/>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sz w:val="28"/>
          <w:szCs w:val="28"/>
          <w:lang w:val="en-US" w:eastAsia="zh-CN"/>
        </w:rPr>
        <w:t>3、本项目每份报价500元，共79份。报价为固定总价，包含提货券制作、商品采购、税费、配送、售后等所有相关费用。成交供应商后期不得以任何理由减少相关服务，供应商报价时应综合考虑报价风险。项目履行过程中，若发生上级工会调整政策，供应商需无条件配合落实。</w:t>
      </w:r>
    </w:p>
    <w:p w14:paraId="2B6CF0FF">
      <w:pPr>
        <w:pStyle w:val="16"/>
        <w:pageBreakBefore w:val="0"/>
        <w:numPr>
          <w:ilvl w:val="0"/>
          <w:numId w:val="0"/>
        </w:numPr>
        <w:kinsoku/>
        <w:wordWrap/>
        <w:overflowPunct/>
        <w:topLinePunct w:val="0"/>
        <w:bidi w:val="0"/>
        <w:spacing w:line="560" w:lineRule="exact"/>
        <w:ind w:left="762" w:leftChars="181" w:hanging="382" w:hangingChars="136"/>
        <w:textAlignment w:val="auto"/>
        <w:outlineLvl w:val="0"/>
        <w:rPr>
          <w:rFonts w:hint="eastAsia" w:ascii="仿宋_GB2312" w:hAnsi="仿宋_GB2312" w:eastAsia="仿宋_GB2312" w:cs="仿宋_GB2312"/>
          <w:b/>
          <w:bCs/>
          <w:sz w:val="28"/>
          <w:szCs w:val="28"/>
          <w:lang w:val="en-US" w:eastAsia="zh-CN"/>
        </w:rPr>
      </w:pPr>
      <w:r>
        <w:rPr>
          <w:rFonts w:hint="eastAsia" w:ascii="仿宋_GB2312" w:hAnsi="仿宋_GB2312" w:eastAsia="仿宋_GB2312" w:cs="仿宋_GB2312"/>
          <w:b/>
          <w:bCs/>
          <w:kern w:val="2"/>
          <w:sz w:val="28"/>
          <w:szCs w:val="28"/>
          <w:lang w:val="en-US" w:eastAsia="zh-CN" w:bidi="ar-SA"/>
        </w:rPr>
        <w:t>二、</w:t>
      </w:r>
      <w:r>
        <w:rPr>
          <w:rFonts w:hint="eastAsia" w:ascii="仿宋_GB2312" w:hAnsi="仿宋_GB2312" w:eastAsia="仿宋_GB2312" w:cs="仿宋_GB2312"/>
          <w:b/>
          <w:bCs/>
          <w:sz w:val="28"/>
          <w:szCs w:val="28"/>
          <w:lang w:val="en-US" w:eastAsia="zh-CN"/>
        </w:rPr>
        <w:t>评分细则</w:t>
      </w:r>
    </w:p>
    <w:p w14:paraId="74FDD68E">
      <w:pPr>
        <w:pStyle w:val="16"/>
        <w:pageBreakBefore w:val="0"/>
        <w:numPr>
          <w:ilvl w:val="0"/>
          <w:numId w:val="0"/>
        </w:numPr>
        <w:kinsoku/>
        <w:wordWrap/>
        <w:overflowPunct/>
        <w:topLinePunct w:val="0"/>
        <w:bidi w:val="0"/>
        <w:spacing w:line="560" w:lineRule="exact"/>
        <w:ind w:left="762" w:leftChars="181" w:hanging="382" w:hangingChars="136"/>
        <w:textAlignment w:val="auto"/>
        <w:outlineLvl w:val="0"/>
        <w:rPr>
          <w:rFonts w:hint="eastAsia" w:ascii="仿宋_GB2312" w:hAnsi="仿宋_GB2312" w:eastAsia="仿宋_GB2312" w:cs="仿宋_GB2312"/>
          <w:b/>
          <w:bCs/>
          <w:sz w:val="28"/>
          <w:szCs w:val="28"/>
          <w:lang w:val="en-US" w:eastAsia="zh-CN"/>
        </w:rPr>
      </w:pPr>
    </w:p>
    <w:tbl>
      <w:tblPr>
        <w:tblStyle w:val="14"/>
        <w:tblW w:w="1021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54"/>
        <w:gridCol w:w="1460"/>
        <w:gridCol w:w="5795"/>
        <w:gridCol w:w="1510"/>
      </w:tblGrid>
      <w:tr w14:paraId="7A3F0D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6" w:hRule="atLeast"/>
          <w:jc w:val="center"/>
        </w:trPr>
        <w:tc>
          <w:tcPr>
            <w:tcW w:w="1454" w:type="dxa"/>
            <w:tcBorders>
              <w:top w:val="single" w:color="auto" w:sz="4" w:space="0"/>
              <w:left w:val="single" w:color="auto" w:sz="4" w:space="0"/>
              <w:bottom w:val="single" w:color="auto" w:sz="4" w:space="0"/>
              <w:right w:val="single" w:color="auto" w:sz="4" w:space="0"/>
            </w:tcBorders>
            <w:noWrap w:val="0"/>
            <w:vAlign w:val="center"/>
          </w:tcPr>
          <w:p w14:paraId="6F6151C4">
            <w:pPr>
              <w:spacing w:line="360" w:lineRule="auto"/>
              <w:jc w:val="center"/>
              <w:rPr>
                <w:rFonts w:hint="eastAsia" w:ascii="仿宋" w:hAnsi="仿宋" w:eastAsia="仿宋" w:cs="仿宋"/>
                <w:b/>
                <w:bCs/>
                <w:color w:val="000000"/>
                <w:highlight w:val="none"/>
              </w:rPr>
            </w:pPr>
            <w:r>
              <w:rPr>
                <w:rFonts w:hint="eastAsia" w:ascii="仿宋" w:hAnsi="仿宋" w:eastAsia="仿宋" w:cs="仿宋"/>
                <w:b/>
                <w:bCs/>
                <w:color w:val="000000"/>
                <w:sz w:val="24"/>
                <w:highlight w:val="none"/>
              </w:rPr>
              <w:t>类别</w:t>
            </w:r>
          </w:p>
        </w:tc>
        <w:tc>
          <w:tcPr>
            <w:tcW w:w="1460" w:type="dxa"/>
            <w:tcBorders>
              <w:top w:val="single" w:color="auto" w:sz="4" w:space="0"/>
              <w:left w:val="single" w:color="auto" w:sz="4" w:space="0"/>
              <w:bottom w:val="single" w:color="auto" w:sz="4" w:space="0"/>
              <w:right w:val="single" w:color="auto" w:sz="4" w:space="0"/>
            </w:tcBorders>
            <w:noWrap w:val="0"/>
            <w:vAlign w:val="center"/>
          </w:tcPr>
          <w:p w14:paraId="5EC7C7C0">
            <w:pPr>
              <w:spacing w:line="360" w:lineRule="auto"/>
              <w:jc w:val="center"/>
              <w:rPr>
                <w:rFonts w:hint="eastAsia" w:ascii="仿宋" w:hAnsi="仿宋" w:eastAsia="仿宋" w:cs="仿宋"/>
                <w:b/>
                <w:bCs/>
                <w:color w:val="000000"/>
                <w:highlight w:val="none"/>
              </w:rPr>
            </w:pPr>
            <w:r>
              <w:rPr>
                <w:rFonts w:hint="eastAsia" w:ascii="仿宋" w:hAnsi="仿宋" w:eastAsia="仿宋" w:cs="仿宋"/>
                <w:b/>
                <w:bCs/>
                <w:color w:val="000000"/>
                <w:sz w:val="24"/>
                <w:highlight w:val="none"/>
              </w:rPr>
              <w:t>评分内容</w:t>
            </w:r>
          </w:p>
        </w:tc>
        <w:tc>
          <w:tcPr>
            <w:tcW w:w="5795" w:type="dxa"/>
            <w:tcBorders>
              <w:top w:val="single" w:color="auto" w:sz="4" w:space="0"/>
              <w:left w:val="single" w:color="auto" w:sz="4" w:space="0"/>
              <w:bottom w:val="single" w:color="auto" w:sz="4" w:space="0"/>
              <w:right w:val="single" w:color="auto" w:sz="4" w:space="0"/>
            </w:tcBorders>
            <w:noWrap w:val="0"/>
            <w:vAlign w:val="center"/>
          </w:tcPr>
          <w:p w14:paraId="07C6DEE6">
            <w:pPr>
              <w:spacing w:line="360" w:lineRule="auto"/>
              <w:jc w:val="center"/>
              <w:rPr>
                <w:rFonts w:hint="eastAsia" w:ascii="仿宋" w:hAnsi="仿宋" w:eastAsia="仿宋" w:cs="仿宋"/>
                <w:b/>
                <w:bCs/>
                <w:color w:val="000000"/>
                <w:highlight w:val="none"/>
              </w:rPr>
            </w:pPr>
            <w:r>
              <w:rPr>
                <w:rFonts w:hint="eastAsia" w:ascii="仿宋" w:hAnsi="仿宋" w:eastAsia="仿宋" w:cs="仿宋"/>
                <w:b/>
                <w:bCs/>
                <w:color w:val="000000"/>
                <w:sz w:val="24"/>
                <w:highlight w:val="none"/>
              </w:rPr>
              <w:t>指标描述</w:t>
            </w:r>
          </w:p>
        </w:tc>
        <w:tc>
          <w:tcPr>
            <w:tcW w:w="1510" w:type="dxa"/>
            <w:tcBorders>
              <w:top w:val="single" w:color="auto" w:sz="4" w:space="0"/>
              <w:left w:val="single" w:color="auto" w:sz="4" w:space="0"/>
              <w:bottom w:val="single" w:color="auto" w:sz="4" w:space="0"/>
              <w:right w:val="single" w:color="auto" w:sz="4" w:space="0"/>
            </w:tcBorders>
            <w:noWrap w:val="0"/>
            <w:vAlign w:val="center"/>
          </w:tcPr>
          <w:p w14:paraId="77C78FB9">
            <w:pPr>
              <w:spacing w:line="360" w:lineRule="auto"/>
              <w:jc w:val="center"/>
              <w:rPr>
                <w:rFonts w:hint="eastAsia" w:ascii="仿宋" w:hAnsi="仿宋" w:eastAsia="仿宋" w:cs="仿宋"/>
                <w:b/>
                <w:bCs/>
                <w:color w:val="000000"/>
                <w:highlight w:val="none"/>
              </w:rPr>
            </w:pPr>
            <w:r>
              <w:rPr>
                <w:rFonts w:hint="eastAsia" w:ascii="仿宋" w:hAnsi="仿宋" w:eastAsia="仿宋" w:cs="仿宋"/>
                <w:b/>
                <w:bCs/>
                <w:color w:val="000000"/>
                <w:sz w:val="24"/>
                <w:highlight w:val="none"/>
              </w:rPr>
              <w:t>分值范围</w:t>
            </w:r>
          </w:p>
        </w:tc>
      </w:tr>
      <w:tr w14:paraId="40B803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31" w:hRule="atLeast"/>
          <w:jc w:val="center"/>
        </w:trPr>
        <w:tc>
          <w:tcPr>
            <w:tcW w:w="1454" w:type="dxa"/>
            <w:vMerge w:val="restart"/>
            <w:tcBorders>
              <w:top w:val="single" w:color="auto" w:sz="4" w:space="0"/>
              <w:left w:val="single" w:color="auto" w:sz="4" w:space="0"/>
              <w:right w:val="single" w:color="auto" w:sz="4" w:space="0"/>
            </w:tcBorders>
            <w:noWrap w:val="0"/>
            <w:vAlign w:val="center"/>
          </w:tcPr>
          <w:p w14:paraId="089D6199">
            <w:pPr>
              <w:spacing w:line="360" w:lineRule="auto"/>
              <w:jc w:val="center"/>
              <w:rPr>
                <w:rFonts w:hint="eastAsia" w:ascii="仿宋" w:hAnsi="仿宋" w:eastAsia="仿宋" w:cs="仿宋"/>
                <w:bCs/>
                <w:color w:val="auto"/>
                <w:highlight w:val="none"/>
              </w:rPr>
            </w:pPr>
            <w:r>
              <w:rPr>
                <w:rFonts w:hint="eastAsia" w:ascii="仿宋" w:hAnsi="仿宋" w:eastAsia="仿宋" w:cs="仿宋"/>
                <w:bCs/>
                <w:color w:val="auto"/>
                <w:sz w:val="24"/>
                <w:highlight w:val="none"/>
              </w:rPr>
              <w:t>技术资信分</w:t>
            </w:r>
          </w:p>
          <w:p w14:paraId="5326E5B6">
            <w:pPr>
              <w:spacing w:line="360" w:lineRule="auto"/>
              <w:jc w:val="center"/>
              <w:rPr>
                <w:rFonts w:hint="eastAsia" w:ascii="仿宋" w:hAnsi="仿宋" w:eastAsia="仿宋" w:cs="仿宋"/>
                <w:bCs/>
                <w:color w:val="auto"/>
                <w:highlight w:val="none"/>
              </w:rPr>
            </w:pPr>
            <w:r>
              <w:rPr>
                <w:rFonts w:hint="eastAsia" w:ascii="仿宋" w:hAnsi="仿宋" w:eastAsia="仿宋" w:cs="仿宋"/>
                <w:bCs/>
                <w:color w:val="auto"/>
                <w:sz w:val="24"/>
                <w:highlight w:val="none"/>
              </w:rPr>
              <w:t>（</w:t>
            </w:r>
            <w:r>
              <w:rPr>
                <w:rFonts w:hint="eastAsia" w:ascii="仿宋" w:hAnsi="仿宋" w:eastAsia="仿宋" w:cs="仿宋"/>
                <w:bCs/>
                <w:color w:val="auto"/>
                <w:sz w:val="24"/>
                <w:highlight w:val="none"/>
                <w:lang w:val="en-US" w:eastAsia="zh-CN"/>
              </w:rPr>
              <w:t>90</w:t>
            </w:r>
            <w:r>
              <w:rPr>
                <w:rFonts w:hint="eastAsia" w:ascii="仿宋" w:hAnsi="仿宋" w:eastAsia="仿宋" w:cs="仿宋"/>
                <w:bCs/>
                <w:color w:val="auto"/>
                <w:sz w:val="24"/>
                <w:highlight w:val="none"/>
              </w:rPr>
              <w:t>分）</w:t>
            </w:r>
          </w:p>
        </w:tc>
        <w:tc>
          <w:tcPr>
            <w:tcW w:w="1460" w:type="dxa"/>
            <w:tcBorders>
              <w:top w:val="single" w:color="auto" w:sz="4" w:space="0"/>
              <w:left w:val="single" w:color="auto" w:sz="4" w:space="0"/>
              <w:bottom w:val="single" w:color="auto" w:sz="4" w:space="0"/>
              <w:right w:val="single" w:color="auto" w:sz="4" w:space="0"/>
            </w:tcBorders>
            <w:noWrap w:val="0"/>
            <w:vAlign w:val="center"/>
          </w:tcPr>
          <w:p w14:paraId="0A6DCA39">
            <w:pPr>
              <w:spacing w:line="360" w:lineRule="auto"/>
              <w:jc w:val="center"/>
              <w:rPr>
                <w:rFonts w:hint="eastAsia" w:ascii="仿宋" w:hAnsi="仿宋" w:eastAsia="仿宋" w:cs="仿宋"/>
                <w:kern w:val="2"/>
                <w:sz w:val="24"/>
                <w:szCs w:val="24"/>
                <w:highlight w:val="none"/>
                <w:lang w:val="en-US" w:eastAsia="zh-CN" w:bidi="ar-SA"/>
              </w:rPr>
            </w:pPr>
            <w:r>
              <w:rPr>
                <w:rFonts w:hint="eastAsia" w:ascii="仿宋" w:hAnsi="仿宋" w:eastAsia="仿宋" w:cs="仿宋"/>
                <w:bCs/>
                <w:sz w:val="24"/>
                <w:highlight w:val="none"/>
              </w:rPr>
              <w:t>投标人业绩</w:t>
            </w:r>
          </w:p>
        </w:tc>
        <w:tc>
          <w:tcPr>
            <w:tcW w:w="5795" w:type="dxa"/>
            <w:tcBorders>
              <w:top w:val="single" w:color="auto" w:sz="4" w:space="0"/>
              <w:left w:val="single" w:color="auto" w:sz="4" w:space="0"/>
              <w:bottom w:val="single" w:color="auto" w:sz="4" w:space="0"/>
              <w:right w:val="single" w:color="auto" w:sz="4" w:space="0"/>
            </w:tcBorders>
            <w:noWrap w:val="0"/>
            <w:vAlign w:val="top"/>
          </w:tcPr>
          <w:p w14:paraId="1D0ADDAC">
            <w:pPr>
              <w:spacing w:line="360" w:lineRule="auto"/>
              <w:rPr>
                <w:rFonts w:hint="eastAsia" w:ascii="仿宋" w:hAnsi="仿宋" w:eastAsia="仿宋" w:cs="仿宋"/>
                <w:color w:val="000000"/>
                <w:sz w:val="24"/>
                <w:highlight w:val="none"/>
              </w:rPr>
            </w:pPr>
            <w:r>
              <w:rPr>
                <w:rFonts w:hint="eastAsia" w:ascii="仿宋" w:hAnsi="仿宋" w:eastAsia="仿宋" w:cs="仿宋"/>
                <w:color w:val="000000"/>
                <w:sz w:val="24"/>
                <w:highlight w:val="none"/>
              </w:rPr>
              <w:t>自 202</w:t>
            </w:r>
            <w:r>
              <w:rPr>
                <w:rFonts w:hint="eastAsia" w:ascii="仿宋" w:hAnsi="仿宋" w:eastAsia="仿宋" w:cs="仿宋"/>
                <w:color w:val="000000"/>
                <w:sz w:val="24"/>
                <w:highlight w:val="none"/>
                <w:lang w:val="en-US" w:eastAsia="zh-CN"/>
              </w:rPr>
              <w:t>2</w:t>
            </w:r>
            <w:r>
              <w:rPr>
                <w:rFonts w:hint="eastAsia" w:ascii="仿宋" w:hAnsi="仿宋" w:eastAsia="仿宋" w:cs="仿宋"/>
                <w:color w:val="000000"/>
                <w:sz w:val="24"/>
                <w:highlight w:val="none"/>
              </w:rPr>
              <w:t>年1月1日以来（以合同签订时间为准）</w:t>
            </w:r>
            <w:r>
              <w:rPr>
                <w:rFonts w:hint="eastAsia" w:ascii="仿宋" w:hAnsi="仿宋" w:eastAsia="仿宋" w:cs="仿宋"/>
                <w:color w:val="000000"/>
                <w:sz w:val="24"/>
                <w:highlight w:val="none"/>
                <w:lang w:eastAsia="zh-CN"/>
              </w:rPr>
              <w:t>，</w:t>
            </w:r>
            <w:r>
              <w:rPr>
                <w:rFonts w:hint="eastAsia" w:ascii="仿宋" w:hAnsi="仿宋" w:eastAsia="仿宋" w:cs="仿宋"/>
                <w:color w:val="000000"/>
                <w:sz w:val="24"/>
                <w:highlight w:val="none"/>
              </w:rPr>
              <w:t>投标人具有</w:t>
            </w:r>
            <w:r>
              <w:rPr>
                <w:rFonts w:hint="eastAsia" w:ascii="仿宋" w:hAnsi="仿宋" w:eastAsia="仿宋" w:cs="仿宋"/>
                <w:color w:val="000000"/>
                <w:sz w:val="24"/>
                <w:highlight w:val="none"/>
                <w:lang w:val="en-US" w:eastAsia="zh-CN"/>
              </w:rPr>
              <w:t>党政机关或事业单位或国有企业</w:t>
            </w:r>
            <w:r>
              <w:rPr>
                <w:rFonts w:hint="eastAsia" w:ascii="仿宋" w:hAnsi="仿宋" w:eastAsia="仿宋" w:cs="仿宋"/>
                <w:color w:val="000000"/>
                <w:sz w:val="24"/>
                <w:highlight w:val="none"/>
              </w:rPr>
              <w:t>的节日福利供货</w:t>
            </w:r>
            <w:r>
              <w:rPr>
                <w:rFonts w:hint="eastAsia" w:ascii="仿宋" w:hAnsi="仿宋" w:eastAsia="仿宋" w:cs="仿宋"/>
                <w:color w:val="000000"/>
                <w:sz w:val="24"/>
                <w:highlight w:val="none"/>
                <w:lang w:eastAsia="zh-CN"/>
              </w:rPr>
              <w:t>业绩，</w:t>
            </w:r>
            <w:r>
              <w:rPr>
                <w:rFonts w:hint="eastAsia" w:ascii="仿宋" w:hAnsi="仿宋" w:eastAsia="仿宋" w:cs="仿宋"/>
                <w:color w:val="000000"/>
                <w:sz w:val="24"/>
                <w:highlight w:val="none"/>
                <w:lang w:val="en-US" w:eastAsia="zh-CN"/>
              </w:rPr>
              <w:t>每提供一个</w:t>
            </w:r>
            <w:r>
              <w:rPr>
                <w:rFonts w:hint="eastAsia" w:ascii="仿宋" w:hAnsi="仿宋" w:eastAsia="仿宋" w:cs="仿宋"/>
                <w:color w:val="000000"/>
                <w:sz w:val="24"/>
                <w:highlight w:val="none"/>
              </w:rPr>
              <w:t>得2分，满分</w:t>
            </w:r>
            <w:r>
              <w:rPr>
                <w:rFonts w:hint="eastAsia" w:ascii="仿宋" w:hAnsi="仿宋" w:eastAsia="仿宋" w:cs="仿宋"/>
                <w:color w:val="000000"/>
                <w:sz w:val="24"/>
                <w:highlight w:val="none"/>
                <w:lang w:val="en-US" w:eastAsia="zh-CN"/>
              </w:rPr>
              <w:t>16</w:t>
            </w:r>
            <w:r>
              <w:rPr>
                <w:rFonts w:hint="eastAsia" w:ascii="仿宋" w:hAnsi="仿宋" w:eastAsia="仿宋" w:cs="仿宋"/>
                <w:color w:val="000000"/>
                <w:sz w:val="24"/>
                <w:highlight w:val="none"/>
              </w:rPr>
              <w:t>分。</w:t>
            </w:r>
          </w:p>
          <w:p w14:paraId="13B65A21">
            <w:pPr>
              <w:spacing w:line="360" w:lineRule="auto"/>
              <w:jc w:val="left"/>
              <w:rPr>
                <w:rFonts w:hint="eastAsia" w:ascii="仿宋" w:hAnsi="仿宋" w:eastAsia="仿宋" w:cs="仿宋"/>
                <w:b/>
                <w:bCs/>
                <w:sz w:val="24"/>
                <w:szCs w:val="24"/>
                <w:highlight w:val="none"/>
              </w:rPr>
            </w:pPr>
            <w:r>
              <w:rPr>
                <w:rFonts w:hint="eastAsia" w:ascii="仿宋" w:hAnsi="仿宋" w:eastAsia="仿宋" w:cs="仿宋"/>
                <w:b/>
                <w:bCs/>
                <w:color w:val="000000"/>
                <w:sz w:val="24"/>
                <w:highlight w:val="none"/>
              </w:rPr>
              <w:t>注：</w:t>
            </w:r>
            <w:r>
              <w:rPr>
                <w:rFonts w:hint="eastAsia" w:ascii="仿宋" w:hAnsi="仿宋" w:eastAsia="仿宋" w:cs="仿宋"/>
                <w:b/>
                <w:bCs/>
                <w:color w:val="000000"/>
                <w:sz w:val="24"/>
                <w:highlight w:val="none"/>
                <w:lang w:val="en-US" w:eastAsia="zh-CN"/>
              </w:rPr>
              <w:t>1、投标文件中</w:t>
            </w:r>
            <w:r>
              <w:rPr>
                <w:rFonts w:hint="eastAsia" w:ascii="仿宋" w:hAnsi="仿宋" w:eastAsia="仿宋" w:cs="仿宋"/>
                <w:b/>
                <w:bCs/>
                <w:color w:val="000000"/>
                <w:sz w:val="24"/>
                <w:highlight w:val="none"/>
              </w:rPr>
              <w:t>须提供业绩合同扫描件，如合同中无法体现签订时间、采购内容、金额、甲乙双方盖章页等评审内容的，须同时提供采购单位盖章的证明材料，否则不得分。</w:t>
            </w:r>
          </w:p>
          <w:p w14:paraId="5CE4975C">
            <w:pPr>
              <w:spacing w:line="360" w:lineRule="auto"/>
              <w:rPr>
                <w:rFonts w:hint="eastAsia" w:ascii="仿宋" w:hAnsi="仿宋" w:eastAsia="仿宋" w:cs="仿宋"/>
                <w:bCs/>
                <w:color w:val="auto"/>
                <w:kern w:val="2"/>
                <w:sz w:val="24"/>
                <w:szCs w:val="24"/>
                <w:highlight w:val="none"/>
                <w:lang w:val="en-US" w:eastAsia="zh-CN" w:bidi="ar-SA"/>
              </w:rPr>
            </w:pPr>
            <w:r>
              <w:rPr>
                <w:rFonts w:hint="eastAsia" w:ascii="仿宋" w:hAnsi="仿宋" w:eastAsia="仿宋" w:cs="仿宋"/>
                <w:b/>
                <w:bCs/>
                <w:sz w:val="24"/>
                <w:szCs w:val="24"/>
                <w:highlight w:val="none"/>
              </w:rPr>
              <w:t>2、正在履约或履约完成的业绩均予认可。</w:t>
            </w:r>
            <w:r>
              <w:rPr>
                <w:rFonts w:hint="eastAsia" w:ascii="仿宋" w:hAnsi="仿宋" w:eastAsia="仿宋" w:cs="仿宋"/>
                <w:b/>
                <w:bCs/>
                <w:sz w:val="24"/>
                <w:szCs w:val="24"/>
                <w:highlight w:val="none"/>
                <w:lang w:val="en-US" w:eastAsia="zh-CN"/>
              </w:rPr>
              <w:t>同一单位业绩不重复计分。</w:t>
            </w:r>
          </w:p>
        </w:tc>
        <w:tc>
          <w:tcPr>
            <w:tcW w:w="1510" w:type="dxa"/>
            <w:tcBorders>
              <w:top w:val="single" w:color="auto" w:sz="4" w:space="0"/>
              <w:left w:val="single" w:color="auto" w:sz="4" w:space="0"/>
              <w:bottom w:val="single" w:color="auto" w:sz="4" w:space="0"/>
              <w:right w:val="single" w:color="auto" w:sz="4" w:space="0"/>
            </w:tcBorders>
            <w:noWrap w:val="0"/>
            <w:vAlign w:val="center"/>
          </w:tcPr>
          <w:p w14:paraId="6202A3D0">
            <w:pPr>
              <w:widowControl/>
              <w:adjustRightInd w:val="0"/>
              <w:snapToGrid w:val="0"/>
              <w:spacing w:line="360" w:lineRule="auto"/>
              <w:jc w:val="center"/>
              <w:rPr>
                <w:rFonts w:hint="eastAsia" w:ascii="仿宋" w:hAnsi="仿宋" w:eastAsia="仿宋" w:cs="仿宋"/>
                <w:bCs/>
                <w:color w:val="FF0000"/>
                <w:highlight w:val="none"/>
                <w:lang w:val="en-US" w:eastAsia="zh-CN"/>
              </w:rPr>
            </w:pPr>
            <w:r>
              <w:rPr>
                <w:rFonts w:hint="eastAsia" w:ascii="仿宋" w:hAnsi="仿宋" w:eastAsia="仿宋" w:cs="仿宋"/>
                <w:sz w:val="24"/>
                <w:highlight w:val="none"/>
                <w:lang w:val="en-US" w:eastAsia="zh-CN"/>
              </w:rPr>
              <w:t>0-16分</w:t>
            </w:r>
          </w:p>
        </w:tc>
      </w:tr>
      <w:tr w14:paraId="16FD93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454" w:type="dxa"/>
            <w:vMerge w:val="continue"/>
            <w:tcBorders>
              <w:left w:val="single" w:color="auto" w:sz="4" w:space="0"/>
              <w:right w:val="single" w:color="auto" w:sz="4" w:space="0"/>
            </w:tcBorders>
            <w:noWrap w:val="0"/>
            <w:vAlign w:val="center"/>
          </w:tcPr>
          <w:p w14:paraId="71D22EEC">
            <w:pPr>
              <w:spacing w:line="360" w:lineRule="auto"/>
              <w:jc w:val="center"/>
              <w:rPr>
                <w:rFonts w:hint="eastAsia" w:ascii="仿宋" w:hAnsi="仿宋" w:eastAsia="仿宋" w:cs="仿宋"/>
                <w:bCs/>
                <w:color w:val="auto"/>
                <w:sz w:val="24"/>
                <w:highlight w:val="none"/>
              </w:rPr>
            </w:pPr>
          </w:p>
        </w:tc>
        <w:tc>
          <w:tcPr>
            <w:tcW w:w="1460" w:type="dxa"/>
            <w:tcBorders>
              <w:top w:val="single" w:color="auto" w:sz="4" w:space="0"/>
              <w:left w:val="single" w:color="auto" w:sz="4" w:space="0"/>
              <w:bottom w:val="single" w:color="auto" w:sz="4" w:space="0"/>
              <w:right w:val="single" w:color="auto" w:sz="4" w:space="0"/>
            </w:tcBorders>
            <w:noWrap w:val="0"/>
            <w:vAlign w:val="center"/>
          </w:tcPr>
          <w:p w14:paraId="760FD5AA">
            <w:pPr>
              <w:keepNext w:val="0"/>
              <w:keepLines w:val="0"/>
              <w:pageBreakBefore w:val="0"/>
              <w:widowControl/>
              <w:kinsoku/>
              <w:wordWrap/>
              <w:overflowPunct/>
              <w:topLinePunct w:val="0"/>
              <w:autoSpaceDE/>
              <w:autoSpaceDN/>
              <w:bidi w:val="0"/>
              <w:adjustRightInd w:val="0"/>
              <w:snapToGrid w:val="0"/>
              <w:spacing w:line="360" w:lineRule="auto"/>
              <w:jc w:val="center"/>
              <w:textAlignment w:val="auto"/>
              <w:rPr>
                <w:rFonts w:hint="eastAsia" w:ascii="仿宋" w:hAnsi="仿宋" w:eastAsia="仿宋" w:cs="仿宋"/>
                <w:bCs/>
                <w:color w:val="FF0000"/>
                <w:kern w:val="2"/>
                <w:sz w:val="21"/>
                <w:highlight w:val="none"/>
                <w:lang w:val="en-US" w:eastAsia="zh-CN" w:bidi="ar-SA"/>
              </w:rPr>
            </w:pPr>
            <w:r>
              <w:rPr>
                <w:rFonts w:hint="eastAsia" w:ascii="仿宋" w:hAnsi="仿宋" w:eastAsia="仿宋" w:cs="仿宋"/>
                <w:spacing w:val="-8"/>
                <w:kern w:val="0"/>
                <w:sz w:val="24"/>
                <w:highlight w:val="none"/>
                <w:lang w:val="en-US" w:eastAsia="zh-CN"/>
              </w:rPr>
              <w:t>服务方案</w:t>
            </w:r>
          </w:p>
        </w:tc>
        <w:tc>
          <w:tcPr>
            <w:tcW w:w="5795" w:type="dxa"/>
            <w:tcBorders>
              <w:top w:val="single" w:color="auto" w:sz="4" w:space="0"/>
              <w:left w:val="single" w:color="auto" w:sz="4" w:space="0"/>
              <w:bottom w:val="single" w:color="auto" w:sz="4" w:space="0"/>
              <w:right w:val="single" w:color="auto" w:sz="4" w:space="0"/>
            </w:tcBorders>
            <w:noWrap w:val="0"/>
            <w:vAlign w:val="center"/>
          </w:tcPr>
          <w:p w14:paraId="0C481198">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highlight w:val="none"/>
                <w:lang w:val="en-US" w:eastAsia="zh-CN"/>
              </w:rPr>
            </w:pPr>
            <w:r>
              <w:rPr>
                <w:rFonts w:hint="eastAsia" w:ascii="仿宋" w:hAnsi="仿宋" w:eastAsia="仿宋" w:cs="仿宋"/>
                <w:sz w:val="24"/>
                <w:highlight w:val="none"/>
                <w:lang w:val="en-US" w:eastAsia="zh-CN"/>
              </w:rPr>
              <w:t>评标小组根据投标人针对本次供货要求所提供的服务方案进行综合比较和评价。</w:t>
            </w:r>
          </w:p>
          <w:p w14:paraId="30EE6557">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highlight w:val="none"/>
                <w:lang w:val="en-US" w:eastAsia="zh-CN"/>
              </w:rPr>
            </w:pPr>
            <w:r>
              <w:rPr>
                <w:rFonts w:hint="eastAsia" w:ascii="仿宋" w:hAnsi="仿宋" w:eastAsia="仿宋" w:cs="仿宋"/>
                <w:sz w:val="24"/>
                <w:highlight w:val="none"/>
                <w:lang w:val="en-US" w:eastAsia="zh-CN"/>
              </w:rPr>
              <w:t>一、根据投标文件中</w:t>
            </w:r>
            <w:r>
              <w:rPr>
                <w:rFonts w:hint="eastAsia" w:ascii="仿宋" w:hAnsi="仿宋" w:eastAsia="仿宋" w:cs="仿宋"/>
                <w:b/>
                <w:bCs/>
                <w:sz w:val="24"/>
                <w:highlight w:val="none"/>
                <w:lang w:val="en-US" w:eastAsia="zh-CN"/>
              </w:rPr>
              <w:t>供货及配送方案</w:t>
            </w:r>
            <w:r>
              <w:rPr>
                <w:rFonts w:hint="eastAsia" w:ascii="仿宋" w:hAnsi="仿宋" w:eastAsia="仿宋" w:cs="仿宋"/>
                <w:sz w:val="24"/>
                <w:highlight w:val="none"/>
                <w:lang w:val="en-US" w:eastAsia="zh-CN"/>
              </w:rPr>
              <w:t>进行评分（10分）：</w:t>
            </w:r>
          </w:p>
          <w:p w14:paraId="57BBC1D9">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highlight w:val="none"/>
                <w:lang w:val="en-US" w:eastAsia="zh-CN"/>
              </w:rPr>
            </w:pPr>
            <w:r>
              <w:rPr>
                <w:rFonts w:hint="eastAsia" w:ascii="仿宋" w:hAnsi="仿宋" w:eastAsia="仿宋" w:cs="仿宋"/>
                <w:sz w:val="24"/>
                <w:highlight w:val="none"/>
                <w:lang w:val="en-US" w:eastAsia="zh-CN"/>
              </w:rPr>
              <w:t xml:space="preserve">（1）提供优质完善的供货配送方案，科学合理，供货及时可靠得8-10 分； </w:t>
            </w:r>
          </w:p>
          <w:p w14:paraId="1DD09091">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highlight w:val="none"/>
                <w:lang w:val="en-US" w:eastAsia="zh-CN"/>
              </w:rPr>
            </w:pPr>
            <w:r>
              <w:rPr>
                <w:rFonts w:hint="eastAsia" w:ascii="仿宋" w:hAnsi="仿宋" w:eastAsia="仿宋" w:cs="仿宋"/>
                <w:sz w:val="24"/>
                <w:highlight w:val="none"/>
                <w:lang w:val="en-US" w:eastAsia="zh-CN"/>
              </w:rPr>
              <w:t xml:space="preserve">（2）提供的供货配送方案，具体合理，基本满足项目需求得5-7分； </w:t>
            </w:r>
          </w:p>
          <w:p w14:paraId="2C7D4842">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highlight w:val="none"/>
                <w:lang w:val="en-US" w:eastAsia="zh-CN"/>
              </w:rPr>
            </w:pPr>
            <w:r>
              <w:rPr>
                <w:rFonts w:hint="eastAsia" w:ascii="仿宋" w:hAnsi="仿宋" w:eastAsia="仿宋" w:cs="仿宋"/>
                <w:sz w:val="24"/>
                <w:highlight w:val="none"/>
                <w:lang w:val="en-US" w:eastAsia="zh-CN"/>
              </w:rPr>
              <w:t xml:space="preserve">（3）供货配送方案基本可行，细节待完善的得1-4分； </w:t>
            </w:r>
          </w:p>
          <w:p w14:paraId="6701B748">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highlight w:val="none"/>
                <w:lang w:val="en-US" w:eastAsia="zh-CN"/>
              </w:rPr>
            </w:pPr>
            <w:r>
              <w:rPr>
                <w:rFonts w:hint="eastAsia" w:ascii="仿宋" w:hAnsi="仿宋" w:eastAsia="仿宋" w:cs="仿宋"/>
                <w:sz w:val="24"/>
                <w:highlight w:val="none"/>
                <w:lang w:val="en-US" w:eastAsia="zh-CN"/>
              </w:rPr>
              <w:t>（4）未提供的不得分。</w:t>
            </w:r>
          </w:p>
          <w:p w14:paraId="329BA6A7">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highlight w:val="none"/>
                <w:lang w:val="en-US" w:eastAsia="zh-CN"/>
              </w:rPr>
            </w:pPr>
            <w:r>
              <w:rPr>
                <w:rFonts w:hint="eastAsia" w:ascii="仿宋" w:hAnsi="仿宋" w:eastAsia="仿宋" w:cs="仿宋"/>
                <w:sz w:val="24"/>
                <w:highlight w:val="none"/>
                <w:lang w:val="en-US" w:eastAsia="zh-CN"/>
              </w:rPr>
              <w:t>二、根据投标文件中</w:t>
            </w:r>
            <w:r>
              <w:rPr>
                <w:rFonts w:hint="eastAsia" w:ascii="仿宋" w:hAnsi="仿宋" w:eastAsia="仿宋" w:cs="仿宋"/>
                <w:b/>
                <w:bCs/>
                <w:sz w:val="24"/>
                <w:highlight w:val="none"/>
                <w:lang w:val="en-US" w:eastAsia="zh-CN"/>
              </w:rPr>
              <w:t>提货券可使用的超商数量</w:t>
            </w:r>
            <w:r>
              <w:rPr>
                <w:rFonts w:hint="eastAsia" w:ascii="仿宋" w:hAnsi="仿宋" w:eastAsia="仿宋" w:cs="仿宋"/>
                <w:sz w:val="24"/>
                <w:highlight w:val="none"/>
                <w:lang w:val="en-US" w:eastAsia="zh-CN"/>
              </w:rPr>
              <w:t>进行评分（12分）：</w:t>
            </w:r>
          </w:p>
          <w:p w14:paraId="19B4F540">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highlight w:val="none"/>
                <w:lang w:val="en-US" w:eastAsia="zh-CN"/>
              </w:rPr>
            </w:pPr>
            <w:r>
              <w:rPr>
                <w:rFonts w:hint="eastAsia" w:ascii="仿宋" w:hAnsi="仿宋" w:eastAsia="仿宋" w:cs="仿宋"/>
                <w:sz w:val="24"/>
                <w:highlight w:val="none"/>
                <w:lang w:val="en-US" w:eastAsia="zh-CN"/>
              </w:rPr>
              <w:t>（1）可用于比选内容提到的6个超商，得12分；</w:t>
            </w:r>
          </w:p>
          <w:p w14:paraId="7FB413A4">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highlight w:val="none"/>
                <w:lang w:val="en-US" w:eastAsia="zh-CN"/>
              </w:rPr>
            </w:pPr>
            <w:r>
              <w:rPr>
                <w:rFonts w:hint="eastAsia" w:ascii="仿宋" w:hAnsi="仿宋" w:eastAsia="仿宋" w:cs="仿宋"/>
                <w:sz w:val="24"/>
                <w:highlight w:val="none"/>
                <w:lang w:val="en-US" w:eastAsia="zh-CN"/>
              </w:rPr>
              <w:t>（2）可用于比选内容提到的5个超商，得10分；</w:t>
            </w:r>
          </w:p>
          <w:p w14:paraId="76F5A2CC">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highlight w:val="none"/>
                <w:lang w:val="en-US" w:eastAsia="zh-CN"/>
              </w:rPr>
            </w:pPr>
            <w:r>
              <w:rPr>
                <w:rFonts w:hint="eastAsia" w:ascii="仿宋" w:hAnsi="仿宋" w:eastAsia="仿宋" w:cs="仿宋"/>
                <w:sz w:val="24"/>
                <w:highlight w:val="none"/>
                <w:lang w:val="en-US" w:eastAsia="zh-CN"/>
              </w:rPr>
              <w:t>（3）可用于比选内容提到的4个超商，得8分；</w:t>
            </w:r>
          </w:p>
          <w:p w14:paraId="47E5B99C">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highlight w:val="none"/>
                <w:lang w:val="en-US" w:eastAsia="zh-CN"/>
              </w:rPr>
            </w:pPr>
            <w:r>
              <w:rPr>
                <w:rFonts w:hint="eastAsia" w:ascii="仿宋" w:hAnsi="仿宋" w:eastAsia="仿宋" w:cs="仿宋"/>
                <w:sz w:val="24"/>
                <w:highlight w:val="none"/>
                <w:lang w:val="en-US" w:eastAsia="zh-CN"/>
              </w:rPr>
              <w:t>（4）未达到比选内容提到的4个超商的不得分。</w:t>
            </w:r>
          </w:p>
          <w:p w14:paraId="59D6F6F5">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highlight w:val="none"/>
                <w:lang w:val="en-US" w:eastAsia="zh-CN"/>
              </w:rPr>
            </w:pPr>
            <w:r>
              <w:rPr>
                <w:rFonts w:hint="eastAsia" w:ascii="仿宋" w:hAnsi="仿宋" w:eastAsia="仿宋" w:cs="仿宋"/>
                <w:b w:val="0"/>
                <w:bCs w:val="0"/>
                <w:sz w:val="24"/>
                <w:highlight w:val="none"/>
                <w:lang w:val="en-US" w:eastAsia="zh-CN"/>
              </w:rPr>
              <w:t>三、</w:t>
            </w:r>
            <w:r>
              <w:rPr>
                <w:rFonts w:hint="eastAsia" w:ascii="仿宋" w:hAnsi="仿宋" w:eastAsia="仿宋" w:cs="仿宋"/>
                <w:sz w:val="24"/>
                <w:highlight w:val="none"/>
                <w:lang w:val="en-US" w:eastAsia="zh-CN"/>
              </w:rPr>
              <w:t>根据投标文件中</w:t>
            </w:r>
            <w:r>
              <w:rPr>
                <w:rFonts w:hint="eastAsia" w:ascii="仿宋" w:hAnsi="仿宋" w:eastAsia="仿宋" w:cs="仿宋"/>
                <w:b/>
                <w:bCs/>
                <w:sz w:val="24"/>
                <w:highlight w:val="none"/>
                <w:lang w:val="en-US" w:eastAsia="zh-CN"/>
              </w:rPr>
              <w:t>提货券是否可以同时享受门店优惠活动</w:t>
            </w:r>
            <w:r>
              <w:rPr>
                <w:rFonts w:hint="eastAsia" w:ascii="仿宋" w:hAnsi="仿宋" w:eastAsia="仿宋" w:cs="仿宋"/>
                <w:sz w:val="24"/>
                <w:highlight w:val="none"/>
                <w:lang w:val="en-US" w:eastAsia="zh-CN"/>
              </w:rPr>
              <w:t>进行综合比较和评价（12分）</w:t>
            </w:r>
          </w:p>
          <w:p w14:paraId="1B8E594C">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highlight w:val="none"/>
                <w:lang w:val="en-US" w:eastAsia="zh-CN"/>
              </w:rPr>
            </w:pPr>
            <w:r>
              <w:rPr>
                <w:rFonts w:hint="eastAsia" w:ascii="仿宋" w:hAnsi="仿宋" w:eastAsia="仿宋" w:cs="仿宋"/>
                <w:sz w:val="24"/>
                <w:highlight w:val="none"/>
              </w:rPr>
              <w:t>（1）</w:t>
            </w:r>
            <w:r>
              <w:rPr>
                <w:rFonts w:hint="eastAsia" w:ascii="仿宋" w:hAnsi="仿宋" w:eastAsia="仿宋" w:cs="仿宋"/>
                <w:sz w:val="24"/>
                <w:highlight w:val="none"/>
                <w:lang w:val="en-US" w:eastAsia="zh-CN"/>
              </w:rPr>
              <w:t>提货券明确可与其他门店优惠活动叠加使用的得12分；</w:t>
            </w:r>
          </w:p>
          <w:p w14:paraId="78E186A2">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highlight w:val="none"/>
                <w:lang w:val="en-US" w:eastAsia="zh-CN"/>
              </w:rPr>
            </w:pPr>
            <w:r>
              <w:rPr>
                <w:rFonts w:hint="eastAsia" w:ascii="仿宋" w:hAnsi="仿宋" w:eastAsia="仿宋" w:cs="仿宋"/>
                <w:sz w:val="24"/>
                <w:highlight w:val="none"/>
              </w:rPr>
              <w:t>（2）</w:t>
            </w:r>
            <w:r>
              <w:rPr>
                <w:rFonts w:hint="eastAsia" w:ascii="仿宋" w:hAnsi="仿宋" w:eastAsia="仿宋" w:cs="仿宋"/>
                <w:sz w:val="24"/>
                <w:highlight w:val="none"/>
                <w:lang w:val="en-US" w:eastAsia="zh-CN"/>
              </w:rPr>
              <w:t>提货券未明确可叠加门店优惠，在使用范围、品类等方面限制较多的得8分；</w:t>
            </w:r>
          </w:p>
          <w:p w14:paraId="1FF620E2">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highlight w:val="none"/>
                <w:lang w:val="en-US" w:eastAsia="zh-CN"/>
              </w:rPr>
            </w:pPr>
            <w:r>
              <w:rPr>
                <w:rFonts w:hint="eastAsia" w:ascii="仿宋" w:hAnsi="仿宋" w:eastAsia="仿宋" w:cs="仿宋"/>
                <w:sz w:val="24"/>
                <w:highlight w:val="none"/>
              </w:rPr>
              <w:t>（3）</w:t>
            </w:r>
            <w:r>
              <w:rPr>
                <w:rFonts w:hint="eastAsia" w:ascii="仿宋" w:hAnsi="仿宋" w:eastAsia="仿宋" w:cs="仿宋"/>
                <w:sz w:val="24"/>
                <w:highlight w:val="none"/>
                <w:lang w:val="en-US" w:eastAsia="zh-CN"/>
              </w:rPr>
              <w:t>提货券未明确可叠加门店优惠，且使用限制多的得4分。</w:t>
            </w:r>
          </w:p>
          <w:p w14:paraId="1275F9BB">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lang w:val="en-US" w:eastAsia="zh-CN"/>
              </w:rPr>
            </w:pPr>
            <w:r>
              <w:rPr>
                <w:rFonts w:hint="eastAsia" w:ascii="仿宋" w:hAnsi="仿宋" w:eastAsia="仿宋" w:cs="仿宋"/>
                <w:sz w:val="24"/>
                <w:highlight w:val="none"/>
              </w:rPr>
              <w:t>（4）</w:t>
            </w:r>
            <w:r>
              <w:rPr>
                <w:rFonts w:hint="eastAsia" w:ascii="仿宋" w:hAnsi="仿宋" w:eastAsia="仿宋" w:cs="仿宋"/>
                <w:sz w:val="24"/>
                <w:highlight w:val="none"/>
                <w:lang w:val="en-US" w:eastAsia="zh-CN"/>
              </w:rPr>
              <w:t>未提供的不得分。</w:t>
            </w:r>
          </w:p>
        </w:tc>
        <w:tc>
          <w:tcPr>
            <w:tcW w:w="1510" w:type="dxa"/>
            <w:tcBorders>
              <w:top w:val="single" w:color="auto" w:sz="4" w:space="0"/>
              <w:left w:val="single" w:color="auto" w:sz="4" w:space="0"/>
              <w:bottom w:val="single" w:color="auto" w:sz="4" w:space="0"/>
              <w:right w:val="single" w:color="auto" w:sz="4" w:space="0"/>
            </w:tcBorders>
            <w:noWrap w:val="0"/>
            <w:vAlign w:val="center"/>
          </w:tcPr>
          <w:p w14:paraId="430F947C">
            <w:pPr>
              <w:widowControl/>
              <w:adjustRightInd w:val="0"/>
              <w:snapToGrid w:val="0"/>
              <w:spacing w:line="360" w:lineRule="auto"/>
              <w:jc w:val="center"/>
              <w:rPr>
                <w:rFonts w:hint="eastAsia" w:ascii="仿宋" w:hAnsi="仿宋" w:eastAsia="仿宋" w:cs="仿宋"/>
                <w:bCs/>
                <w:color w:val="FF0000"/>
                <w:kern w:val="2"/>
                <w:sz w:val="21"/>
                <w:highlight w:val="none"/>
                <w:lang w:val="en-US" w:eastAsia="zh-CN" w:bidi="ar-SA"/>
              </w:rPr>
            </w:pPr>
            <w:r>
              <w:rPr>
                <w:rFonts w:hint="eastAsia" w:ascii="仿宋" w:hAnsi="仿宋" w:eastAsia="仿宋" w:cs="仿宋"/>
                <w:sz w:val="24"/>
                <w:highlight w:val="none"/>
                <w:lang w:val="en-US" w:eastAsia="zh-CN"/>
              </w:rPr>
              <w:t>0-34</w:t>
            </w:r>
            <w:r>
              <w:rPr>
                <w:rFonts w:hint="eastAsia" w:ascii="仿宋" w:hAnsi="仿宋" w:eastAsia="仿宋" w:cs="仿宋"/>
                <w:sz w:val="24"/>
                <w:highlight w:val="none"/>
              </w:rPr>
              <w:t>分</w:t>
            </w:r>
          </w:p>
        </w:tc>
      </w:tr>
      <w:tr w14:paraId="04DE36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80" w:hRule="atLeast"/>
          <w:jc w:val="center"/>
        </w:trPr>
        <w:tc>
          <w:tcPr>
            <w:tcW w:w="1454" w:type="dxa"/>
            <w:vMerge w:val="continue"/>
            <w:tcBorders>
              <w:left w:val="single" w:color="auto" w:sz="4" w:space="0"/>
              <w:right w:val="single" w:color="auto" w:sz="4" w:space="0"/>
            </w:tcBorders>
            <w:noWrap w:val="0"/>
            <w:vAlign w:val="center"/>
          </w:tcPr>
          <w:p w14:paraId="1F1BE007">
            <w:pPr>
              <w:spacing w:line="360" w:lineRule="auto"/>
              <w:jc w:val="center"/>
              <w:rPr>
                <w:rFonts w:hint="eastAsia" w:ascii="仿宋" w:hAnsi="仿宋" w:eastAsia="仿宋" w:cs="仿宋"/>
                <w:bCs/>
                <w:color w:val="FF0000"/>
                <w:highlight w:val="none"/>
              </w:rPr>
            </w:pPr>
          </w:p>
        </w:tc>
        <w:tc>
          <w:tcPr>
            <w:tcW w:w="1460" w:type="dxa"/>
            <w:tcBorders>
              <w:top w:val="single" w:color="auto" w:sz="4" w:space="0"/>
              <w:left w:val="single" w:color="auto" w:sz="4" w:space="0"/>
              <w:bottom w:val="single" w:color="auto" w:sz="4" w:space="0"/>
              <w:right w:val="single" w:color="auto" w:sz="4" w:space="0"/>
            </w:tcBorders>
            <w:noWrap w:val="0"/>
            <w:vAlign w:val="center"/>
          </w:tcPr>
          <w:p w14:paraId="4752D50C">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 w:hAnsi="仿宋" w:eastAsia="仿宋" w:cs="仿宋"/>
                <w:sz w:val="24"/>
                <w:highlight w:val="none"/>
                <w:lang w:val="en-US" w:eastAsia="zh-CN"/>
              </w:rPr>
            </w:pPr>
            <w:r>
              <w:rPr>
                <w:rFonts w:hint="eastAsia" w:ascii="仿宋" w:hAnsi="仿宋" w:eastAsia="仿宋" w:cs="仿宋"/>
                <w:sz w:val="24"/>
                <w:highlight w:val="none"/>
                <w:lang w:val="en-US" w:eastAsia="zh-CN"/>
              </w:rPr>
              <w:t>综合评价</w:t>
            </w:r>
          </w:p>
        </w:tc>
        <w:tc>
          <w:tcPr>
            <w:tcW w:w="5795" w:type="dxa"/>
            <w:tcBorders>
              <w:top w:val="single" w:color="auto" w:sz="4" w:space="0"/>
              <w:left w:val="single" w:color="auto" w:sz="4" w:space="0"/>
              <w:bottom w:val="single" w:color="auto" w:sz="4" w:space="0"/>
              <w:right w:val="single" w:color="auto" w:sz="4" w:space="0"/>
            </w:tcBorders>
            <w:noWrap w:val="0"/>
            <w:vAlign w:val="center"/>
          </w:tcPr>
          <w:p w14:paraId="1EBD841A">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highlight w:val="none"/>
                <w:lang w:val="en-US" w:eastAsia="zh-CN"/>
              </w:rPr>
            </w:pPr>
            <w:r>
              <w:rPr>
                <w:rFonts w:hint="eastAsia" w:ascii="仿宋" w:hAnsi="仿宋" w:eastAsia="仿宋" w:cs="仿宋"/>
                <w:sz w:val="24"/>
                <w:highlight w:val="none"/>
                <w:lang w:val="en-US" w:eastAsia="zh-CN"/>
              </w:rPr>
              <w:t>评标小组根据</w:t>
            </w:r>
            <w:r>
              <w:rPr>
                <w:rFonts w:hint="eastAsia" w:ascii="仿宋" w:hAnsi="仿宋" w:eastAsia="仿宋" w:cs="仿宋"/>
                <w:b/>
                <w:bCs/>
                <w:sz w:val="24"/>
                <w:highlight w:val="none"/>
                <w:lang w:val="en-US" w:eastAsia="zh-CN"/>
              </w:rPr>
              <w:t>投标人提供服务的便利度</w:t>
            </w:r>
            <w:r>
              <w:rPr>
                <w:rFonts w:hint="eastAsia" w:ascii="仿宋" w:hAnsi="仿宋" w:eastAsia="仿宋" w:cs="仿宋"/>
                <w:sz w:val="24"/>
                <w:highlight w:val="none"/>
                <w:lang w:val="en-US" w:eastAsia="zh-CN"/>
              </w:rPr>
              <w:t>等多方因素进行综合评审。</w:t>
            </w:r>
          </w:p>
          <w:p w14:paraId="6D8B6DD5">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highlight w:val="none"/>
                <w:lang w:val="en-US" w:eastAsia="zh-CN"/>
              </w:rPr>
            </w:pPr>
            <w:r>
              <w:rPr>
                <w:rFonts w:hint="eastAsia" w:ascii="仿宋" w:hAnsi="仿宋" w:eastAsia="仿宋" w:cs="仿宋"/>
                <w:sz w:val="24"/>
                <w:highlight w:val="none"/>
                <w:lang w:val="en-US" w:eastAsia="zh-CN"/>
              </w:rPr>
              <w:t>（1）投标人提供的服务便捷性满足项目需求得6-8 分；</w:t>
            </w:r>
          </w:p>
          <w:p w14:paraId="764C84A4">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highlight w:val="none"/>
                <w:lang w:val="en-US" w:eastAsia="zh-CN"/>
              </w:rPr>
            </w:pPr>
            <w:r>
              <w:rPr>
                <w:rFonts w:hint="eastAsia" w:ascii="仿宋" w:hAnsi="仿宋" w:eastAsia="仿宋" w:cs="仿宋"/>
                <w:sz w:val="24"/>
                <w:highlight w:val="none"/>
                <w:lang w:val="en-US" w:eastAsia="zh-CN"/>
              </w:rPr>
              <w:t>（2）投标人提供的服务便捷性基本满足项目需求的得 3-5分；</w:t>
            </w:r>
          </w:p>
          <w:p w14:paraId="37F6CE88">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highlight w:val="none"/>
                <w:lang w:val="en-US" w:eastAsia="zh-CN"/>
              </w:rPr>
            </w:pPr>
            <w:r>
              <w:rPr>
                <w:rFonts w:hint="eastAsia" w:ascii="仿宋" w:hAnsi="仿宋" w:eastAsia="仿宋" w:cs="仿宋"/>
                <w:sz w:val="24"/>
                <w:highlight w:val="none"/>
                <w:lang w:val="en-US" w:eastAsia="zh-CN"/>
              </w:rPr>
              <w:t>（3）投标人提供的服务便捷性有待提高的得1-2分；</w:t>
            </w:r>
          </w:p>
          <w:p w14:paraId="7280A986">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highlight w:val="none"/>
                <w:lang w:val="en-US" w:eastAsia="zh-CN"/>
              </w:rPr>
            </w:pPr>
            <w:r>
              <w:rPr>
                <w:rFonts w:hint="eastAsia" w:ascii="仿宋" w:hAnsi="仿宋" w:eastAsia="仿宋" w:cs="仿宋"/>
                <w:sz w:val="24"/>
                <w:highlight w:val="none"/>
                <w:lang w:val="en-US" w:eastAsia="zh-CN"/>
              </w:rPr>
              <w:t>（4）未提供的不得分。</w:t>
            </w:r>
          </w:p>
        </w:tc>
        <w:tc>
          <w:tcPr>
            <w:tcW w:w="1510" w:type="dxa"/>
            <w:tcBorders>
              <w:top w:val="single" w:color="auto" w:sz="4" w:space="0"/>
              <w:left w:val="single" w:color="auto" w:sz="4" w:space="0"/>
              <w:bottom w:val="single" w:color="auto" w:sz="4" w:space="0"/>
              <w:right w:val="single" w:color="auto" w:sz="4" w:space="0"/>
            </w:tcBorders>
            <w:noWrap w:val="0"/>
            <w:vAlign w:val="center"/>
          </w:tcPr>
          <w:p w14:paraId="4523A2AE">
            <w:pPr>
              <w:widowControl/>
              <w:adjustRightInd w:val="0"/>
              <w:snapToGrid w:val="0"/>
              <w:spacing w:line="360" w:lineRule="auto"/>
              <w:jc w:val="center"/>
              <w:rPr>
                <w:rFonts w:hint="eastAsia" w:ascii="仿宋" w:hAnsi="仿宋" w:eastAsia="仿宋" w:cs="仿宋"/>
                <w:bCs/>
                <w:color w:val="FF0000"/>
                <w:highlight w:val="none"/>
              </w:rPr>
            </w:pPr>
            <w:r>
              <w:rPr>
                <w:rFonts w:hint="eastAsia" w:ascii="仿宋" w:hAnsi="仿宋" w:eastAsia="仿宋" w:cs="仿宋"/>
                <w:sz w:val="24"/>
                <w:highlight w:val="none"/>
                <w:lang w:val="en-US" w:eastAsia="zh-CN"/>
              </w:rPr>
              <w:t>0-8</w:t>
            </w:r>
            <w:r>
              <w:rPr>
                <w:rFonts w:hint="eastAsia" w:ascii="仿宋" w:hAnsi="仿宋" w:eastAsia="仿宋" w:cs="仿宋"/>
                <w:sz w:val="24"/>
                <w:highlight w:val="none"/>
              </w:rPr>
              <w:t>分</w:t>
            </w:r>
          </w:p>
        </w:tc>
      </w:tr>
      <w:tr w14:paraId="69C1C0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00" w:hRule="atLeast"/>
          <w:jc w:val="center"/>
        </w:trPr>
        <w:tc>
          <w:tcPr>
            <w:tcW w:w="1454" w:type="dxa"/>
            <w:vMerge w:val="continue"/>
            <w:tcBorders>
              <w:left w:val="single" w:color="auto" w:sz="4" w:space="0"/>
              <w:right w:val="single" w:color="auto" w:sz="4" w:space="0"/>
            </w:tcBorders>
            <w:noWrap w:val="0"/>
            <w:vAlign w:val="center"/>
          </w:tcPr>
          <w:p w14:paraId="064E1341">
            <w:pPr>
              <w:spacing w:line="360" w:lineRule="auto"/>
              <w:jc w:val="center"/>
              <w:rPr>
                <w:rFonts w:hint="eastAsia" w:ascii="仿宋" w:hAnsi="仿宋" w:eastAsia="仿宋" w:cs="仿宋"/>
                <w:bCs/>
                <w:color w:val="FF0000"/>
                <w:highlight w:val="none"/>
              </w:rPr>
            </w:pPr>
          </w:p>
        </w:tc>
        <w:tc>
          <w:tcPr>
            <w:tcW w:w="1460" w:type="dxa"/>
            <w:tcBorders>
              <w:top w:val="single" w:color="auto" w:sz="4" w:space="0"/>
              <w:left w:val="single" w:color="auto" w:sz="4" w:space="0"/>
              <w:bottom w:val="single" w:color="auto" w:sz="4" w:space="0"/>
              <w:right w:val="single" w:color="auto" w:sz="4" w:space="0"/>
            </w:tcBorders>
            <w:noWrap w:val="0"/>
            <w:vAlign w:val="center"/>
          </w:tcPr>
          <w:p w14:paraId="11220E2E">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 w:hAnsi="仿宋" w:eastAsia="仿宋" w:cs="仿宋"/>
                <w:kern w:val="2"/>
                <w:sz w:val="24"/>
                <w:highlight w:val="none"/>
                <w:lang w:val="en-US" w:eastAsia="zh-CN" w:bidi="ar-SA"/>
              </w:rPr>
            </w:pPr>
            <w:r>
              <w:rPr>
                <w:rFonts w:hint="eastAsia" w:ascii="仿宋" w:hAnsi="仿宋" w:eastAsia="仿宋" w:cs="仿宋"/>
                <w:sz w:val="24"/>
                <w:highlight w:val="none"/>
                <w:lang w:val="en-US" w:eastAsia="zh-CN"/>
              </w:rPr>
              <w:t>质量保证</w:t>
            </w:r>
          </w:p>
        </w:tc>
        <w:tc>
          <w:tcPr>
            <w:tcW w:w="5795" w:type="dxa"/>
            <w:tcBorders>
              <w:top w:val="single" w:color="auto" w:sz="4" w:space="0"/>
              <w:left w:val="single" w:color="auto" w:sz="4" w:space="0"/>
              <w:bottom w:val="single" w:color="auto" w:sz="4" w:space="0"/>
              <w:right w:val="single" w:color="auto" w:sz="4" w:space="0"/>
            </w:tcBorders>
            <w:noWrap w:val="0"/>
            <w:vAlign w:val="center"/>
          </w:tcPr>
          <w:p w14:paraId="4E1F9C04">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highlight w:val="none"/>
                <w:lang w:val="en-US" w:eastAsia="zh-CN"/>
              </w:rPr>
            </w:pPr>
            <w:r>
              <w:rPr>
                <w:rFonts w:hint="eastAsia" w:ascii="仿宋" w:hAnsi="仿宋" w:eastAsia="仿宋" w:cs="仿宋"/>
                <w:sz w:val="24"/>
                <w:highlight w:val="none"/>
                <w:lang w:val="en-US" w:eastAsia="zh-CN"/>
              </w:rPr>
              <w:t>评标小组根据投标人作出的质量承诺、提供的具体质量保证措施等内容进行综合比较。</w:t>
            </w:r>
          </w:p>
          <w:p w14:paraId="3AE429CD">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highlight w:val="none"/>
                <w:lang w:val="en-US" w:eastAsia="zh-CN"/>
              </w:rPr>
            </w:pPr>
            <w:r>
              <w:rPr>
                <w:rFonts w:hint="eastAsia" w:ascii="仿宋" w:hAnsi="仿宋" w:eastAsia="仿宋" w:cs="仿宋"/>
                <w:sz w:val="24"/>
                <w:highlight w:val="none"/>
                <w:lang w:val="en-US" w:eastAsia="zh-CN"/>
              </w:rPr>
              <w:t>（1）方案详细、内容丰富，可行性、实用性、针对性强，得6-8分；</w:t>
            </w:r>
          </w:p>
          <w:p w14:paraId="475B4D9B">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highlight w:val="none"/>
                <w:lang w:val="en-US" w:eastAsia="zh-CN"/>
              </w:rPr>
            </w:pPr>
            <w:r>
              <w:rPr>
                <w:rFonts w:hint="eastAsia" w:ascii="仿宋" w:hAnsi="仿宋" w:eastAsia="仿宋" w:cs="仿宋"/>
                <w:sz w:val="24"/>
                <w:highlight w:val="none"/>
                <w:lang w:val="en-US" w:eastAsia="zh-CN"/>
              </w:rPr>
              <w:t>（2）方案完整，适合本项目采购需求，具有可行性实用性和针对性，得3-5分；</w:t>
            </w:r>
          </w:p>
          <w:p w14:paraId="3B121C50">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highlight w:val="none"/>
                <w:lang w:val="en-US" w:eastAsia="zh-CN"/>
              </w:rPr>
            </w:pPr>
            <w:r>
              <w:rPr>
                <w:rFonts w:hint="eastAsia" w:ascii="仿宋" w:hAnsi="仿宋" w:eastAsia="仿宋" w:cs="仿宋"/>
                <w:sz w:val="24"/>
                <w:highlight w:val="none"/>
                <w:lang w:val="en-US" w:eastAsia="zh-CN"/>
              </w:rPr>
              <w:t>（3）方案有待提升，可行性、实用性针对性有待改善，得1-2分；</w:t>
            </w:r>
          </w:p>
          <w:p w14:paraId="4234DA61">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kern w:val="2"/>
                <w:sz w:val="24"/>
                <w:highlight w:val="none"/>
                <w:lang w:val="en-US" w:eastAsia="zh-CN" w:bidi="ar-SA"/>
              </w:rPr>
            </w:pPr>
            <w:r>
              <w:rPr>
                <w:rFonts w:hint="eastAsia" w:ascii="仿宋" w:hAnsi="仿宋" w:eastAsia="仿宋" w:cs="仿宋"/>
                <w:sz w:val="24"/>
                <w:highlight w:val="none"/>
                <w:lang w:val="en-US" w:eastAsia="zh-CN"/>
              </w:rPr>
              <w:t>（4）未提供的不得分。</w:t>
            </w:r>
          </w:p>
        </w:tc>
        <w:tc>
          <w:tcPr>
            <w:tcW w:w="1510" w:type="dxa"/>
            <w:tcBorders>
              <w:top w:val="single" w:color="auto" w:sz="4" w:space="0"/>
              <w:left w:val="single" w:color="auto" w:sz="4" w:space="0"/>
              <w:bottom w:val="single" w:color="auto" w:sz="4" w:space="0"/>
              <w:right w:val="single" w:color="auto" w:sz="4" w:space="0"/>
            </w:tcBorders>
            <w:noWrap w:val="0"/>
            <w:vAlign w:val="center"/>
          </w:tcPr>
          <w:p w14:paraId="30A4C0BF">
            <w:pPr>
              <w:keepNext w:val="0"/>
              <w:keepLines w:val="0"/>
              <w:pageBreakBefore w:val="0"/>
              <w:widowControl/>
              <w:kinsoku/>
              <w:wordWrap/>
              <w:overflowPunct/>
              <w:topLinePunct w:val="0"/>
              <w:autoSpaceDE/>
              <w:autoSpaceDN/>
              <w:bidi w:val="0"/>
              <w:adjustRightInd w:val="0"/>
              <w:snapToGrid w:val="0"/>
              <w:spacing w:line="360" w:lineRule="auto"/>
              <w:jc w:val="center"/>
              <w:textAlignment w:val="auto"/>
              <w:rPr>
                <w:rFonts w:hint="eastAsia" w:ascii="仿宋" w:hAnsi="仿宋" w:eastAsia="仿宋" w:cs="仿宋"/>
                <w:spacing w:val="-8"/>
                <w:kern w:val="0"/>
                <w:sz w:val="24"/>
                <w:highlight w:val="none"/>
                <w:lang w:val="en-US" w:eastAsia="zh-CN" w:bidi="ar-SA"/>
              </w:rPr>
            </w:pPr>
            <w:r>
              <w:rPr>
                <w:rFonts w:hint="eastAsia" w:ascii="仿宋" w:hAnsi="仿宋" w:eastAsia="仿宋" w:cs="仿宋"/>
                <w:spacing w:val="-8"/>
                <w:kern w:val="0"/>
                <w:sz w:val="24"/>
                <w:highlight w:val="none"/>
                <w:lang w:val="en-US" w:eastAsia="zh-CN"/>
              </w:rPr>
              <w:t>0-8分</w:t>
            </w:r>
          </w:p>
        </w:tc>
      </w:tr>
      <w:tr w14:paraId="29B36A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4" w:hRule="atLeast"/>
          <w:jc w:val="center"/>
        </w:trPr>
        <w:tc>
          <w:tcPr>
            <w:tcW w:w="1454" w:type="dxa"/>
            <w:vMerge w:val="continue"/>
            <w:tcBorders>
              <w:left w:val="single" w:color="auto" w:sz="4" w:space="0"/>
              <w:right w:val="single" w:color="auto" w:sz="4" w:space="0"/>
            </w:tcBorders>
            <w:noWrap w:val="0"/>
            <w:vAlign w:val="center"/>
          </w:tcPr>
          <w:p w14:paraId="7E584C86">
            <w:pPr>
              <w:spacing w:line="360" w:lineRule="auto"/>
              <w:jc w:val="center"/>
              <w:rPr>
                <w:rFonts w:hint="eastAsia" w:ascii="仿宋" w:hAnsi="仿宋" w:eastAsia="仿宋" w:cs="仿宋"/>
                <w:bCs/>
                <w:color w:val="FF0000"/>
                <w:highlight w:val="none"/>
              </w:rPr>
            </w:pPr>
          </w:p>
        </w:tc>
        <w:tc>
          <w:tcPr>
            <w:tcW w:w="1460" w:type="dxa"/>
            <w:tcBorders>
              <w:top w:val="single" w:color="auto" w:sz="4" w:space="0"/>
              <w:left w:val="single" w:color="auto" w:sz="4" w:space="0"/>
              <w:bottom w:val="single" w:color="auto" w:sz="4" w:space="0"/>
              <w:right w:val="single" w:color="auto" w:sz="4" w:space="0"/>
            </w:tcBorders>
            <w:noWrap w:val="0"/>
            <w:vAlign w:val="center"/>
          </w:tcPr>
          <w:p w14:paraId="56F9ACBB">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 w:hAnsi="仿宋" w:eastAsia="仿宋" w:cs="仿宋"/>
                <w:kern w:val="2"/>
                <w:sz w:val="24"/>
                <w:highlight w:val="none"/>
                <w:lang w:val="en-US" w:eastAsia="zh-CN" w:bidi="ar-SA"/>
              </w:rPr>
            </w:pPr>
            <w:r>
              <w:rPr>
                <w:rFonts w:hint="eastAsia" w:ascii="仿宋" w:hAnsi="仿宋" w:eastAsia="仿宋" w:cs="仿宋"/>
                <w:sz w:val="24"/>
                <w:highlight w:val="none"/>
                <w:lang w:val="en-US" w:eastAsia="zh-CN"/>
              </w:rPr>
              <w:t>售后服务方案</w:t>
            </w:r>
          </w:p>
        </w:tc>
        <w:tc>
          <w:tcPr>
            <w:tcW w:w="5795" w:type="dxa"/>
            <w:tcBorders>
              <w:top w:val="single" w:color="auto" w:sz="4" w:space="0"/>
              <w:left w:val="single" w:color="auto" w:sz="4" w:space="0"/>
              <w:bottom w:val="single" w:color="auto" w:sz="4" w:space="0"/>
              <w:right w:val="single" w:color="auto" w:sz="4" w:space="0"/>
            </w:tcBorders>
            <w:noWrap w:val="0"/>
            <w:vAlign w:val="center"/>
          </w:tcPr>
          <w:p w14:paraId="164270C3">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highlight w:val="none"/>
                <w:lang w:val="en-US" w:eastAsia="zh-CN"/>
              </w:rPr>
            </w:pPr>
            <w:r>
              <w:rPr>
                <w:rFonts w:hint="eastAsia" w:ascii="仿宋" w:hAnsi="仿宋" w:eastAsia="仿宋" w:cs="仿宋"/>
                <w:sz w:val="24"/>
                <w:highlight w:val="none"/>
                <w:lang w:val="en-US" w:eastAsia="zh-CN"/>
              </w:rPr>
              <w:t>评标小组根据投标人提供的拟投入本项目的售后服务方案，从以下几方面进行综合评分：</w:t>
            </w:r>
          </w:p>
          <w:p w14:paraId="47CA9F60">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b w:val="0"/>
                <w:bCs w:val="0"/>
                <w:sz w:val="24"/>
                <w:highlight w:val="none"/>
                <w:lang w:val="en-US" w:eastAsia="zh-CN"/>
              </w:rPr>
            </w:pPr>
            <w:r>
              <w:rPr>
                <w:rFonts w:hint="eastAsia" w:ascii="仿宋" w:hAnsi="仿宋" w:eastAsia="仿宋" w:cs="仿宋"/>
                <w:b/>
                <w:bCs/>
                <w:sz w:val="24"/>
                <w:highlight w:val="none"/>
                <w:lang w:val="en-US" w:eastAsia="zh-CN"/>
              </w:rPr>
              <w:t>一、售后服务保障措施（6分）</w:t>
            </w:r>
          </w:p>
          <w:p w14:paraId="5D4F9F6F">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highlight w:val="none"/>
                <w:lang w:val="en-US" w:eastAsia="zh-CN"/>
              </w:rPr>
            </w:pPr>
            <w:r>
              <w:rPr>
                <w:rFonts w:hint="eastAsia" w:ascii="仿宋" w:hAnsi="仿宋" w:eastAsia="仿宋" w:cs="仿宋"/>
                <w:sz w:val="24"/>
                <w:highlight w:val="none"/>
                <w:lang w:val="en-US" w:eastAsia="zh-CN"/>
              </w:rPr>
              <w:t>（1）内容全面完整，措施针对性及可行性强，能最大限度满足采购需求得5-6分；</w:t>
            </w:r>
          </w:p>
          <w:p w14:paraId="274FFED3">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highlight w:val="none"/>
                <w:lang w:val="en-US" w:eastAsia="zh-CN"/>
              </w:rPr>
            </w:pPr>
            <w:r>
              <w:rPr>
                <w:rFonts w:hint="eastAsia" w:ascii="仿宋" w:hAnsi="仿宋" w:eastAsia="仿宋" w:cs="仿宋"/>
                <w:sz w:val="24"/>
                <w:highlight w:val="none"/>
                <w:lang w:val="en-US" w:eastAsia="zh-CN"/>
              </w:rPr>
              <w:t>（2）内容基本全面完整，措施具有针对性及可行性，能基本满足采购需求得3-4分；</w:t>
            </w:r>
          </w:p>
          <w:p w14:paraId="02FD0A84">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highlight w:val="none"/>
                <w:lang w:val="en-US" w:eastAsia="zh-CN"/>
              </w:rPr>
            </w:pPr>
            <w:r>
              <w:rPr>
                <w:rFonts w:hint="eastAsia" w:ascii="仿宋" w:hAnsi="仿宋" w:eastAsia="仿宋" w:cs="仿宋"/>
                <w:sz w:val="24"/>
                <w:highlight w:val="none"/>
                <w:lang w:val="en-US" w:eastAsia="zh-CN"/>
              </w:rPr>
              <w:t>（3）内容基本涵盖完整，针对性及可行性有待改善，得1-2分；</w:t>
            </w:r>
          </w:p>
          <w:p w14:paraId="49DEA607">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highlight w:val="none"/>
                <w:lang w:val="en-US" w:eastAsia="zh-CN"/>
              </w:rPr>
            </w:pPr>
            <w:r>
              <w:rPr>
                <w:rFonts w:hint="eastAsia" w:ascii="仿宋" w:hAnsi="仿宋" w:eastAsia="仿宋" w:cs="仿宋"/>
                <w:sz w:val="24"/>
                <w:highlight w:val="none"/>
                <w:lang w:val="en-US" w:eastAsia="zh-CN"/>
              </w:rPr>
              <w:t>（4）未提供的不得分</w:t>
            </w:r>
          </w:p>
          <w:p w14:paraId="30A40D9A">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hint="eastAsia" w:ascii="仿宋" w:hAnsi="仿宋" w:eastAsia="仿宋" w:cs="仿宋"/>
                <w:b/>
                <w:bCs/>
                <w:highlight w:val="none"/>
                <w:lang w:val="en-US"/>
              </w:rPr>
            </w:pPr>
            <w:r>
              <w:rPr>
                <w:rFonts w:hint="eastAsia" w:ascii="仿宋" w:hAnsi="仿宋" w:eastAsia="仿宋" w:cs="仿宋"/>
                <w:b/>
                <w:bCs/>
                <w:color w:val="000000"/>
                <w:kern w:val="0"/>
                <w:sz w:val="24"/>
                <w:szCs w:val="24"/>
                <w:highlight w:val="none"/>
                <w:lang w:val="en-US" w:eastAsia="zh-CN" w:bidi="ar"/>
              </w:rPr>
              <w:t>二、处理承诺及方案（6分）</w:t>
            </w:r>
          </w:p>
          <w:p w14:paraId="5B06C24B">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hint="eastAsia" w:ascii="仿宋" w:hAnsi="仿宋" w:eastAsia="仿宋" w:cs="仿宋"/>
                <w:color w:val="000000"/>
                <w:kern w:val="0"/>
                <w:sz w:val="24"/>
                <w:szCs w:val="24"/>
                <w:highlight w:val="none"/>
                <w:lang w:val="en-US" w:eastAsia="zh-CN" w:bidi="ar"/>
              </w:rPr>
            </w:pPr>
            <w:r>
              <w:rPr>
                <w:rFonts w:hint="eastAsia" w:ascii="仿宋" w:hAnsi="仿宋" w:eastAsia="仿宋" w:cs="仿宋"/>
                <w:color w:val="000000"/>
                <w:kern w:val="0"/>
                <w:sz w:val="24"/>
                <w:szCs w:val="24"/>
                <w:highlight w:val="none"/>
                <w:lang w:val="en-US" w:eastAsia="zh-CN" w:bidi="ar"/>
              </w:rPr>
              <w:t>评标小组根据投标人提供的出现</w:t>
            </w:r>
            <w:r>
              <w:rPr>
                <w:rFonts w:hint="eastAsia" w:ascii="仿宋" w:hAnsi="仿宋" w:eastAsia="仿宋" w:cs="仿宋"/>
                <w:b/>
                <w:bCs/>
                <w:color w:val="000000"/>
                <w:kern w:val="0"/>
                <w:sz w:val="24"/>
                <w:szCs w:val="24"/>
                <w:highlight w:val="none"/>
                <w:lang w:val="en-US" w:eastAsia="zh-CN" w:bidi="ar"/>
              </w:rPr>
              <w:t>产品质量问题退换货承诺</w:t>
            </w:r>
            <w:r>
              <w:rPr>
                <w:rFonts w:hint="eastAsia" w:ascii="仿宋" w:hAnsi="仿宋" w:eastAsia="仿宋" w:cs="仿宋"/>
                <w:color w:val="000000"/>
                <w:kern w:val="0"/>
                <w:sz w:val="24"/>
                <w:szCs w:val="24"/>
                <w:highlight w:val="none"/>
                <w:lang w:val="en-US" w:eastAsia="zh-CN" w:bidi="ar"/>
              </w:rPr>
              <w:t>、</w:t>
            </w:r>
            <w:r>
              <w:rPr>
                <w:rFonts w:hint="eastAsia" w:ascii="仿宋" w:hAnsi="仿宋" w:eastAsia="仿宋" w:cs="仿宋"/>
                <w:b/>
                <w:bCs/>
                <w:color w:val="000000"/>
                <w:kern w:val="0"/>
                <w:sz w:val="24"/>
                <w:szCs w:val="24"/>
                <w:highlight w:val="none"/>
                <w:lang w:val="en-US" w:eastAsia="zh-CN" w:bidi="ar"/>
              </w:rPr>
              <w:t>特殊情况（如：提货券券面污损、破损、遗失或因特殊原因未能在有效期使用等）提出解决方案</w:t>
            </w:r>
            <w:r>
              <w:rPr>
                <w:rFonts w:hint="eastAsia" w:ascii="仿宋" w:hAnsi="仿宋" w:eastAsia="仿宋" w:cs="仿宋"/>
                <w:color w:val="000000"/>
                <w:kern w:val="0"/>
                <w:sz w:val="24"/>
                <w:szCs w:val="24"/>
                <w:highlight w:val="none"/>
                <w:lang w:val="en-US" w:eastAsia="zh-CN" w:bidi="ar"/>
              </w:rPr>
              <w:t>进行评分：</w:t>
            </w:r>
          </w:p>
          <w:p w14:paraId="6B1F2012">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hint="eastAsia" w:ascii="仿宋" w:hAnsi="仿宋" w:eastAsia="仿宋" w:cs="仿宋"/>
                <w:color w:val="000000"/>
                <w:kern w:val="0"/>
                <w:sz w:val="24"/>
                <w:szCs w:val="24"/>
                <w:highlight w:val="none"/>
                <w:lang w:val="en-US" w:eastAsia="zh-CN" w:bidi="ar"/>
              </w:rPr>
            </w:pPr>
            <w:r>
              <w:rPr>
                <w:rFonts w:hint="eastAsia" w:ascii="仿宋" w:hAnsi="仿宋" w:eastAsia="仿宋" w:cs="仿宋"/>
                <w:color w:val="000000"/>
                <w:kern w:val="0"/>
                <w:sz w:val="24"/>
                <w:szCs w:val="24"/>
                <w:highlight w:val="none"/>
                <w:lang w:val="en-US" w:eastAsia="zh-CN" w:bidi="ar"/>
              </w:rPr>
              <w:t>（1）退换货承诺详尽严谨，流程清晰，保障有力；同时对各类特殊情况的处理机制健全、合理可行，能充分保障用户权益的，得5-6分；</w:t>
            </w:r>
          </w:p>
          <w:p w14:paraId="552115FF">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hint="eastAsia" w:ascii="仿宋" w:hAnsi="仿宋" w:eastAsia="仿宋" w:cs="仿宋"/>
                <w:color w:val="000000"/>
                <w:kern w:val="0"/>
                <w:sz w:val="24"/>
                <w:szCs w:val="24"/>
                <w:highlight w:val="none"/>
                <w:lang w:val="en-US" w:eastAsia="zh-CN" w:bidi="ar"/>
              </w:rPr>
            </w:pPr>
            <w:r>
              <w:rPr>
                <w:rFonts w:hint="eastAsia" w:ascii="仿宋" w:hAnsi="仿宋" w:eastAsia="仿宋" w:cs="仿宋"/>
                <w:color w:val="000000"/>
                <w:kern w:val="0"/>
                <w:sz w:val="24"/>
                <w:szCs w:val="24"/>
                <w:highlight w:val="none"/>
                <w:lang w:val="en-US" w:eastAsia="zh-CN" w:bidi="ar"/>
              </w:rPr>
              <w:t>（2）退换货承诺完整，具备可行性；对常见特殊情况有基本解决方案，保障内容具有可行性、针对性的，得3-4分；</w:t>
            </w:r>
          </w:p>
          <w:p w14:paraId="1E6AC819">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hint="eastAsia" w:ascii="仿宋" w:hAnsi="仿宋" w:eastAsia="仿宋" w:cs="仿宋"/>
                <w:color w:val="000000"/>
                <w:kern w:val="0"/>
                <w:sz w:val="24"/>
                <w:szCs w:val="24"/>
                <w:highlight w:val="none"/>
                <w:lang w:val="en-US" w:eastAsia="zh-CN" w:bidi="ar"/>
              </w:rPr>
            </w:pPr>
            <w:r>
              <w:rPr>
                <w:rFonts w:hint="eastAsia" w:ascii="仿宋" w:hAnsi="仿宋" w:eastAsia="仿宋" w:cs="仿宋"/>
                <w:color w:val="000000"/>
                <w:kern w:val="0"/>
                <w:sz w:val="24"/>
                <w:szCs w:val="24"/>
                <w:highlight w:val="none"/>
                <w:lang w:val="en-US" w:eastAsia="zh-CN" w:bidi="ar"/>
              </w:rPr>
              <w:t>（3）退换货承诺简单，或对特殊情况的处理方案不够完善，内容有待完善的，得1-2分。</w:t>
            </w:r>
          </w:p>
          <w:p w14:paraId="0C91DD3F">
            <w:pPr>
              <w:keepNext w:val="0"/>
              <w:keepLines w:val="0"/>
              <w:pageBreakBefore w:val="0"/>
              <w:widowControl/>
              <w:numPr>
                <w:ilvl w:val="0"/>
                <w:numId w:val="0"/>
              </w:numPr>
              <w:suppressLineNumbers w:val="0"/>
              <w:kinsoku/>
              <w:wordWrap/>
              <w:overflowPunct/>
              <w:topLinePunct w:val="0"/>
              <w:autoSpaceDE/>
              <w:autoSpaceDN/>
              <w:bidi w:val="0"/>
              <w:adjustRightInd/>
              <w:snapToGrid/>
              <w:spacing w:line="360" w:lineRule="auto"/>
              <w:ind w:left="0" w:leftChars="0" w:firstLine="0" w:firstLineChars="0"/>
              <w:jc w:val="left"/>
              <w:textAlignment w:val="auto"/>
              <w:rPr>
                <w:rFonts w:hint="eastAsia" w:ascii="仿宋" w:hAnsi="仿宋" w:eastAsia="仿宋" w:cs="仿宋"/>
                <w:kern w:val="2"/>
                <w:sz w:val="24"/>
                <w:highlight w:val="none"/>
                <w:lang w:val="en-US" w:eastAsia="zh-CN" w:bidi="ar-SA"/>
              </w:rPr>
            </w:pPr>
            <w:r>
              <w:rPr>
                <w:rFonts w:hint="eastAsia" w:ascii="仿宋" w:hAnsi="仿宋" w:eastAsia="仿宋" w:cs="仿宋"/>
                <w:color w:val="000000"/>
                <w:kern w:val="0"/>
                <w:sz w:val="24"/>
                <w:szCs w:val="24"/>
                <w:highlight w:val="none"/>
                <w:lang w:val="en-US" w:eastAsia="zh-CN" w:bidi="ar"/>
              </w:rPr>
              <w:t>（4）未提供的不得分。</w:t>
            </w:r>
          </w:p>
        </w:tc>
        <w:tc>
          <w:tcPr>
            <w:tcW w:w="1510" w:type="dxa"/>
            <w:tcBorders>
              <w:top w:val="single" w:color="auto" w:sz="4" w:space="0"/>
              <w:left w:val="single" w:color="auto" w:sz="4" w:space="0"/>
              <w:bottom w:val="single" w:color="auto" w:sz="4" w:space="0"/>
              <w:right w:val="single" w:color="auto" w:sz="4" w:space="0"/>
            </w:tcBorders>
            <w:noWrap w:val="0"/>
            <w:vAlign w:val="center"/>
          </w:tcPr>
          <w:p w14:paraId="35F5E63E">
            <w:pPr>
              <w:widowControl/>
              <w:adjustRightInd w:val="0"/>
              <w:snapToGrid w:val="0"/>
              <w:spacing w:line="360" w:lineRule="auto"/>
              <w:jc w:val="center"/>
              <w:rPr>
                <w:rFonts w:hint="eastAsia" w:ascii="仿宋" w:hAnsi="仿宋" w:eastAsia="仿宋" w:cs="仿宋"/>
                <w:kern w:val="2"/>
                <w:sz w:val="24"/>
                <w:highlight w:val="none"/>
                <w:lang w:val="en-US" w:eastAsia="zh-CN" w:bidi="ar-SA"/>
              </w:rPr>
            </w:pPr>
            <w:r>
              <w:rPr>
                <w:rFonts w:hint="eastAsia" w:ascii="仿宋" w:hAnsi="仿宋" w:eastAsia="仿宋" w:cs="仿宋"/>
                <w:sz w:val="24"/>
                <w:highlight w:val="none"/>
                <w:lang w:val="en-US" w:eastAsia="zh-CN"/>
              </w:rPr>
              <w:t>0-12分</w:t>
            </w:r>
          </w:p>
        </w:tc>
      </w:tr>
      <w:tr w14:paraId="374B59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8" w:hRule="atLeast"/>
          <w:jc w:val="center"/>
        </w:trPr>
        <w:tc>
          <w:tcPr>
            <w:tcW w:w="1454" w:type="dxa"/>
            <w:vMerge w:val="continue"/>
            <w:tcBorders>
              <w:left w:val="single" w:color="auto" w:sz="4" w:space="0"/>
              <w:right w:val="single" w:color="auto" w:sz="4" w:space="0"/>
            </w:tcBorders>
            <w:noWrap w:val="0"/>
            <w:vAlign w:val="center"/>
          </w:tcPr>
          <w:p w14:paraId="10E4230D">
            <w:pPr>
              <w:spacing w:line="360" w:lineRule="auto"/>
              <w:jc w:val="center"/>
              <w:rPr>
                <w:rFonts w:hint="eastAsia" w:ascii="仿宋" w:hAnsi="仿宋" w:eastAsia="仿宋" w:cs="仿宋"/>
                <w:bCs/>
                <w:color w:val="FF0000"/>
                <w:highlight w:val="none"/>
              </w:rPr>
            </w:pPr>
          </w:p>
        </w:tc>
        <w:tc>
          <w:tcPr>
            <w:tcW w:w="1460" w:type="dxa"/>
            <w:tcBorders>
              <w:top w:val="single" w:color="auto" w:sz="4" w:space="0"/>
              <w:left w:val="single" w:color="auto" w:sz="4" w:space="0"/>
              <w:bottom w:val="single" w:color="auto" w:sz="4" w:space="0"/>
              <w:right w:val="single" w:color="auto" w:sz="4" w:space="0"/>
            </w:tcBorders>
            <w:noWrap w:val="0"/>
            <w:vAlign w:val="center"/>
          </w:tcPr>
          <w:p w14:paraId="49695286">
            <w:pPr>
              <w:spacing w:line="360" w:lineRule="auto"/>
              <w:jc w:val="center"/>
              <w:rPr>
                <w:rFonts w:hint="eastAsia" w:ascii="仿宋" w:hAnsi="仿宋" w:eastAsia="仿宋" w:cs="仿宋"/>
                <w:spacing w:val="-8"/>
                <w:kern w:val="0"/>
                <w:sz w:val="24"/>
                <w:highlight w:val="none"/>
              </w:rPr>
            </w:pPr>
            <w:r>
              <w:rPr>
                <w:rFonts w:hint="eastAsia" w:ascii="仿宋" w:hAnsi="仿宋" w:eastAsia="仿宋" w:cs="仿宋"/>
                <w:color w:val="000000"/>
                <w:sz w:val="24"/>
                <w:highlight w:val="none"/>
              </w:rPr>
              <w:t>配套特色服务</w:t>
            </w:r>
          </w:p>
        </w:tc>
        <w:tc>
          <w:tcPr>
            <w:tcW w:w="5795" w:type="dxa"/>
            <w:tcBorders>
              <w:top w:val="single" w:color="auto" w:sz="4" w:space="0"/>
              <w:left w:val="single" w:color="auto" w:sz="4" w:space="0"/>
              <w:bottom w:val="single" w:color="auto" w:sz="4" w:space="0"/>
              <w:right w:val="single" w:color="auto" w:sz="4" w:space="0"/>
            </w:tcBorders>
            <w:noWrap w:val="0"/>
            <w:vAlign w:val="center"/>
          </w:tcPr>
          <w:p w14:paraId="652CA53D">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highlight w:val="none"/>
              </w:rPr>
            </w:pPr>
            <w:r>
              <w:rPr>
                <w:rFonts w:hint="eastAsia" w:ascii="仿宋" w:hAnsi="仿宋" w:eastAsia="仿宋" w:cs="仿宋"/>
                <w:sz w:val="24"/>
                <w:highlight w:val="none"/>
              </w:rPr>
              <w:t>根据</w:t>
            </w:r>
            <w:r>
              <w:rPr>
                <w:rFonts w:hint="eastAsia" w:ascii="仿宋" w:hAnsi="仿宋" w:eastAsia="仿宋" w:cs="仿宋"/>
                <w:sz w:val="24"/>
                <w:highlight w:val="none"/>
                <w:lang w:eastAsia="zh-CN"/>
              </w:rPr>
              <w:t>投标人投标文件</w:t>
            </w:r>
            <w:r>
              <w:rPr>
                <w:rFonts w:hint="eastAsia" w:ascii="仿宋" w:hAnsi="仿宋" w:eastAsia="仿宋" w:cs="仿宋"/>
                <w:sz w:val="24"/>
                <w:highlight w:val="none"/>
              </w:rPr>
              <w:t>中提供的配套特色服务进行综合评分：</w:t>
            </w:r>
          </w:p>
          <w:p w14:paraId="45C15E70">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highlight w:val="none"/>
              </w:rPr>
            </w:pPr>
            <w:r>
              <w:rPr>
                <w:rFonts w:hint="eastAsia" w:ascii="仿宋" w:hAnsi="仿宋" w:eastAsia="仿宋" w:cs="仿宋"/>
                <w:sz w:val="24"/>
                <w:highlight w:val="none"/>
              </w:rPr>
              <w:t>（1）有具体的配套特色服务，且实用性强，实际价值高的得</w:t>
            </w:r>
            <w:r>
              <w:rPr>
                <w:rFonts w:hint="eastAsia" w:ascii="仿宋" w:hAnsi="仿宋" w:eastAsia="仿宋" w:cs="仿宋"/>
                <w:sz w:val="24"/>
                <w:highlight w:val="none"/>
                <w:lang w:val="en-US" w:eastAsia="zh-CN"/>
              </w:rPr>
              <w:t>10-12</w:t>
            </w:r>
            <w:r>
              <w:rPr>
                <w:rFonts w:hint="eastAsia" w:ascii="仿宋" w:hAnsi="仿宋" w:eastAsia="仿宋" w:cs="仿宋"/>
                <w:sz w:val="24"/>
                <w:highlight w:val="none"/>
              </w:rPr>
              <w:t>分；</w:t>
            </w:r>
          </w:p>
          <w:p w14:paraId="716E38CE">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highlight w:val="none"/>
              </w:rPr>
            </w:pPr>
            <w:r>
              <w:rPr>
                <w:rFonts w:hint="eastAsia" w:ascii="仿宋" w:hAnsi="仿宋" w:eastAsia="仿宋" w:cs="仿宋"/>
                <w:sz w:val="24"/>
                <w:highlight w:val="none"/>
              </w:rPr>
              <w:t>（2）有具体的配套特色服务，有一定的实用性，得</w:t>
            </w:r>
            <w:r>
              <w:rPr>
                <w:rFonts w:hint="eastAsia" w:ascii="仿宋" w:hAnsi="仿宋" w:eastAsia="仿宋" w:cs="仿宋"/>
                <w:sz w:val="24"/>
                <w:highlight w:val="none"/>
                <w:lang w:val="en-US" w:eastAsia="zh-CN"/>
              </w:rPr>
              <w:t>7-9</w:t>
            </w:r>
            <w:r>
              <w:rPr>
                <w:rFonts w:hint="eastAsia" w:ascii="仿宋" w:hAnsi="仿宋" w:eastAsia="仿宋" w:cs="仿宋"/>
                <w:sz w:val="24"/>
                <w:highlight w:val="none"/>
              </w:rPr>
              <w:t>分；</w:t>
            </w:r>
          </w:p>
          <w:p w14:paraId="5B3B6BCD">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highlight w:val="none"/>
              </w:rPr>
            </w:pPr>
            <w:r>
              <w:rPr>
                <w:rFonts w:hint="eastAsia" w:ascii="仿宋" w:hAnsi="仿宋" w:eastAsia="仿宋" w:cs="仿宋"/>
                <w:sz w:val="24"/>
                <w:highlight w:val="none"/>
              </w:rPr>
              <w:t>（3）配套特色服务有限，实用性有待加强的得</w:t>
            </w:r>
            <w:r>
              <w:rPr>
                <w:rFonts w:hint="eastAsia" w:ascii="仿宋" w:hAnsi="仿宋" w:eastAsia="仿宋" w:cs="仿宋"/>
                <w:sz w:val="24"/>
                <w:highlight w:val="none"/>
                <w:lang w:val="en-US" w:eastAsia="zh-CN"/>
              </w:rPr>
              <w:t>4-6</w:t>
            </w:r>
            <w:r>
              <w:rPr>
                <w:rFonts w:hint="eastAsia" w:ascii="仿宋" w:hAnsi="仿宋" w:eastAsia="仿宋" w:cs="仿宋"/>
                <w:sz w:val="24"/>
                <w:highlight w:val="none"/>
              </w:rPr>
              <w:t>分；</w:t>
            </w:r>
          </w:p>
          <w:p w14:paraId="5A7AAC7C">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bCs/>
                <w:color w:val="FF0000"/>
                <w:kern w:val="2"/>
                <w:sz w:val="24"/>
                <w:highlight w:val="none"/>
                <w:lang w:val="en-US" w:eastAsia="zh-CN" w:bidi="ar-SA"/>
              </w:rPr>
            </w:pPr>
            <w:r>
              <w:rPr>
                <w:rFonts w:hint="eastAsia" w:ascii="仿宋" w:hAnsi="仿宋" w:eastAsia="仿宋" w:cs="仿宋"/>
                <w:sz w:val="24"/>
                <w:highlight w:val="none"/>
              </w:rPr>
              <w:t>（4）未提供的不得分。</w:t>
            </w:r>
          </w:p>
        </w:tc>
        <w:tc>
          <w:tcPr>
            <w:tcW w:w="1510" w:type="dxa"/>
            <w:tcBorders>
              <w:top w:val="single" w:color="auto" w:sz="4" w:space="0"/>
              <w:left w:val="single" w:color="auto" w:sz="4" w:space="0"/>
              <w:bottom w:val="single" w:color="auto" w:sz="4" w:space="0"/>
              <w:right w:val="single" w:color="auto" w:sz="4" w:space="0"/>
            </w:tcBorders>
            <w:noWrap w:val="0"/>
            <w:vAlign w:val="center"/>
          </w:tcPr>
          <w:p w14:paraId="51790168">
            <w:pPr>
              <w:widowControl/>
              <w:adjustRightInd w:val="0"/>
              <w:snapToGrid w:val="0"/>
              <w:spacing w:line="360" w:lineRule="auto"/>
              <w:jc w:val="center"/>
              <w:rPr>
                <w:rFonts w:hint="eastAsia" w:ascii="仿宋" w:hAnsi="仿宋" w:eastAsia="仿宋" w:cs="仿宋"/>
                <w:sz w:val="24"/>
                <w:highlight w:val="none"/>
                <w:lang w:val="en-US" w:eastAsia="zh-CN"/>
              </w:rPr>
            </w:pPr>
            <w:r>
              <w:rPr>
                <w:rFonts w:hint="eastAsia" w:ascii="仿宋" w:hAnsi="仿宋" w:eastAsia="仿宋" w:cs="仿宋"/>
                <w:sz w:val="24"/>
                <w:highlight w:val="none"/>
                <w:lang w:val="en-US" w:eastAsia="zh-CN"/>
              </w:rPr>
              <w:t>0-12分</w:t>
            </w:r>
          </w:p>
        </w:tc>
      </w:tr>
      <w:tr w14:paraId="024037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32" w:hRule="atLeast"/>
          <w:jc w:val="center"/>
        </w:trPr>
        <w:tc>
          <w:tcPr>
            <w:tcW w:w="1454" w:type="dxa"/>
            <w:tcBorders>
              <w:left w:val="single" w:color="auto" w:sz="4" w:space="0"/>
              <w:bottom w:val="single" w:color="auto" w:sz="4" w:space="0"/>
              <w:right w:val="single" w:color="auto" w:sz="4" w:space="0"/>
            </w:tcBorders>
            <w:noWrap w:val="0"/>
            <w:vAlign w:val="center"/>
          </w:tcPr>
          <w:p w14:paraId="232908E6">
            <w:pPr>
              <w:spacing w:line="360" w:lineRule="auto"/>
              <w:jc w:val="center"/>
              <w:rPr>
                <w:rFonts w:hint="eastAsia" w:ascii="仿宋" w:hAnsi="仿宋" w:eastAsia="仿宋" w:cs="仿宋"/>
                <w:color w:val="auto"/>
                <w:highlight w:val="none"/>
              </w:rPr>
            </w:pPr>
            <w:r>
              <w:rPr>
                <w:rFonts w:hint="eastAsia" w:ascii="仿宋" w:hAnsi="仿宋" w:eastAsia="仿宋" w:cs="仿宋"/>
                <w:color w:val="auto"/>
                <w:sz w:val="24"/>
                <w:highlight w:val="none"/>
              </w:rPr>
              <w:t>投标报价得分</w:t>
            </w:r>
          </w:p>
          <w:p w14:paraId="3D2A87F5">
            <w:pPr>
              <w:spacing w:line="360" w:lineRule="auto"/>
              <w:jc w:val="center"/>
              <w:rPr>
                <w:rFonts w:hint="eastAsia" w:ascii="仿宋" w:hAnsi="仿宋" w:eastAsia="仿宋" w:cs="仿宋"/>
                <w:bCs/>
                <w:color w:val="FF0000"/>
                <w:highlight w:val="none"/>
              </w:rPr>
            </w:pPr>
            <w:r>
              <w:rPr>
                <w:rFonts w:hint="eastAsia" w:ascii="仿宋" w:hAnsi="仿宋" w:eastAsia="仿宋" w:cs="仿宋"/>
                <w:color w:val="auto"/>
                <w:sz w:val="24"/>
                <w:highlight w:val="none"/>
              </w:rPr>
              <w:t>（</w:t>
            </w:r>
            <w:r>
              <w:rPr>
                <w:rFonts w:hint="eastAsia" w:ascii="仿宋" w:hAnsi="仿宋" w:eastAsia="仿宋" w:cs="仿宋"/>
                <w:color w:val="auto"/>
                <w:sz w:val="24"/>
                <w:highlight w:val="none"/>
                <w:u w:val="single"/>
                <w:lang w:val="en-US" w:eastAsia="zh-CN"/>
              </w:rPr>
              <w:t>10</w:t>
            </w:r>
            <w:r>
              <w:rPr>
                <w:rFonts w:hint="eastAsia" w:ascii="仿宋" w:hAnsi="仿宋" w:eastAsia="仿宋" w:cs="仿宋"/>
                <w:i w:val="0"/>
                <w:iCs w:val="0"/>
                <w:color w:val="auto"/>
                <w:sz w:val="24"/>
                <w:highlight w:val="none"/>
                <w:u w:val="none"/>
              </w:rPr>
              <w:t>分</w:t>
            </w:r>
            <w:r>
              <w:rPr>
                <w:rFonts w:hint="eastAsia" w:ascii="仿宋" w:hAnsi="仿宋" w:eastAsia="仿宋" w:cs="仿宋"/>
                <w:color w:val="auto"/>
                <w:sz w:val="24"/>
                <w:highlight w:val="none"/>
              </w:rPr>
              <w:t>）</w:t>
            </w:r>
          </w:p>
        </w:tc>
        <w:tc>
          <w:tcPr>
            <w:tcW w:w="8765" w:type="dxa"/>
            <w:gridSpan w:val="3"/>
            <w:tcBorders>
              <w:top w:val="single" w:color="auto" w:sz="4" w:space="0"/>
              <w:left w:val="single" w:color="auto" w:sz="4" w:space="0"/>
              <w:bottom w:val="single" w:color="auto" w:sz="4" w:space="0"/>
              <w:right w:val="single" w:color="auto" w:sz="4" w:space="0"/>
            </w:tcBorders>
            <w:noWrap w:val="0"/>
            <w:vAlign w:val="center"/>
          </w:tcPr>
          <w:p w14:paraId="4D95CDBD">
            <w:pPr>
              <w:pStyle w:val="5"/>
              <w:keepNext w:val="0"/>
              <w:keepLines w:val="0"/>
              <w:pageBreakBefore w:val="0"/>
              <w:widowControl w:val="0"/>
              <w:kinsoku/>
              <w:wordWrap/>
              <w:overflowPunct/>
              <w:topLinePunct w:val="0"/>
              <w:autoSpaceDE/>
              <w:autoSpaceDN/>
              <w:bidi w:val="0"/>
              <w:adjustRightInd/>
              <w:snapToGrid/>
              <w:spacing w:line="520" w:lineRule="exact"/>
              <w:ind w:left="0" w:firstLine="0"/>
              <w:jc w:val="left"/>
              <w:textAlignment w:val="auto"/>
              <w:rPr>
                <w:rFonts w:hint="eastAsia" w:ascii="仿宋" w:hAnsi="仿宋" w:eastAsia="仿宋" w:cs="仿宋"/>
                <w:color w:val="auto"/>
                <w:kern w:val="2"/>
                <w:sz w:val="24"/>
                <w:highlight w:val="none"/>
                <w:lang w:val="en-US" w:eastAsia="zh-CN" w:bidi="ar-SA"/>
              </w:rPr>
            </w:pPr>
            <w:r>
              <w:rPr>
                <w:rFonts w:hint="eastAsia" w:ascii="仿宋" w:hAnsi="仿宋" w:eastAsia="仿宋" w:cs="仿宋"/>
                <w:color w:val="auto"/>
                <w:kern w:val="2"/>
                <w:sz w:val="24"/>
                <w:highlight w:val="none"/>
                <w:lang w:val="en-US" w:eastAsia="zh-CN" w:bidi="ar-SA"/>
              </w:rPr>
              <w:t>评标基准价：通过初步评审的</w:t>
            </w:r>
            <w:r>
              <w:rPr>
                <w:rFonts w:hint="eastAsia" w:ascii="仿宋" w:hAnsi="仿宋" w:eastAsia="仿宋" w:cs="仿宋"/>
                <w:b/>
                <w:bCs/>
                <w:color w:val="auto"/>
                <w:kern w:val="2"/>
                <w:sz w:val="24"/>
                <w:highlight w:val="none"/>
                <w:lang w:val="en-US" w:eastAsia="zh-CN" w:bidi="ar-SA"/>
              </w:rPr>
              <w:t>所有</w:t>
            </w:r>
            <w:r>
              <w:rPr>
                <w:rFonts w:hint="eastAsia" w:ascii="仿宋" w:hAnsi="仿宋" w:eastAsia="仿宋" w:cs="仿宋"/>
                <w:b/>
                <w:bCs/>
                <w:sz w:val="24"/>
                <w:highlight w:val="none"/>
              </w:rPr>
              <w:t>有效</w:t>
            </w:r>
            <w:r>
              <w:rPr>
                <w:rFonts w:hint="eastAsia" w:ascii="仿宋" w:hAnsi="仿宋" w:eastAsia="仿宋" w:cs="仿宋"/>
                <w:b/>
                <w:bCs/>
                <w:sz w:val="24"/>
                <w:highlight w:val="none"/>
                <w:lang w:eastAsia="zh-CN"/>
              </w:rPr>
              <w:t>投标报价（</w:t>
            </w:r>
            <w:r>
              <w:rPr>
                <w:rFonts w:hint="eastAsia" w:ascii="仿宋" w:hAnsi="仿宋" w:eastAsia="仿宋" w:cs="仿宋"/>
                <w:b/>
                <w:bCs/>
                <w:sz w:val="24"/>
                <w:highlight w:val="none"/>
              </w:rPr>
              <w:t>溢价率</w:t>
            </w:r>
            <w:r>
              <w:rPr>
                <w:rFonts w:hint="eastAsia" w:ascii="仿宋" w:hAnsi="仿宋" w:eastAsia="仿宋" w:cs="仿宋"/>
                <w:b/>
                <w:bCs/>
                <w:sz w:val="24"/>
                <w:highlight w:val="none"/>
                <w:lang w:eastAsia="zh-CN"/>
              </w:rPr>
              <w:t>）</w:t>
            </w:r>
            <w:r>
              <w:rPr>
                <w:rFonts w:hint="eastAsia" w:ascii="仿宋" w:hAnsi="仿宋" w:eastAsia="仿宋" w:cs="仿宋"/>
                <w:b/>
                <w:bCs/>
                <w:sz w:val="24"/>
                <w:highlight w:val="none"/>
              </w:rPr>
              <w:t>的最高</w:t>
            </w:r>
            <w:r>
              <w:rPr>
                <w:rFonts w:hint="eastAsia" w:ascii="仿宋" w:hAnsi="仿宋" w:eastAsia="仿宋" w:cs="仿宋"/>
                <w:b/>
                <w:bCs/>
                <w:sz w:val="24"/>
                <w:highlight w:val="none"/>
                <w:lang w:eastAsia="zh-CN"/>
              </w:rPr>
              <w:t>价</w:t>
            </w:r>
            <w:r>
              <w:rPr>
                <w:rFonts w:hint="eastAsia" w:ascii="仿宋" w:hAnsi="仿宋" w:eastAsia="仿宋" w:cs="仿宋"/>
                <w:color w:val="auto"/>
                <w:kern w:val="2"/>
                <w:sz w:val="24"/>
                <w:highlight w:val="none"/>
                <w:lang w:val="en-US" w:eastAsia="zh-CN" w:bidi="ar-SA"/>
              </w:rPr>
              <w:t>为评标基准价，其价格分为满分10分。其他投标人的价格分统一按照下列公式计算：</w:t>
            </w:r>
          </w:p>
          <w:p w14:paraId="212EB296">
            <w:pPr>
              <w:pStyle w:val="5"/>
              <w:keepNext w:val="0"/>
              <w:keepLines w:val="0"/>
              <w:pageBreakBefore w:val="0"/>
              <w:widowControl w:val="0"/>
              <w:kinsoku/>
              <w:wordWrap/>
              <w:overflowPunct/>
              <w:topLinePunct w:val="0"/>
              <w:autoSpaceDE/>
              <w:autoSpaceDN/>
              <w:bidi w:val="0"/>
              <w:adjustRightInd/>
              <w:snapToGrid/>
              <w:spacing w:line="520" w:lineRule="exact"/>
              <w:ind w:left="0" w:firstLine="0"/>
              <w:jc w:val="left"/>
              <w:textAlignment w:val="auto"/>
              <w:rPr>
                <w:rFonts w:hint="eastAsia" w:ascii="仿宋" w:hAnsi="仿宋" w:eastAsia="仿宋" w:cs="仿宋"/>
                <w:color w:val="auto"/>
                <w:kern w:val="2"/>
                <w:sz w:val="24"/>
                <w:highlight w:val="none"/>
                <w:lang w:val="en-US" w:eastAsia="zh-CN" w:bidi="ar-SA"/>
              </w:rPr>
            </w:pPr>
            <w:r>
              <w:rPr>
                <w:rFonts w:hint="eastAsia" w:ascii="仿宋" w:hAnsi="仿宋" w:eastAsia="仿宋" w:cs="仿宋"/>
                <w:color w:val="auto"/>
                <w:kern w:val="2"/>
                <w:sz w:val="24"/>
                <w:highlight w:val="none"/>
                <w:lang w:val="en-US" w:eastAsia="zh-CN" w:bidi="ar-SA"/>
              </w:rPr>
              <w:t>投标报价得分＝（投标报价/评标基准价）×10％×100</w:t>
            </w:r>
          </w:p>
          <w:p w14:paraId="4DFA9E42">
            <w:pPr>
              <w:pStyle w:val="5"/>
              <w:keepNext w:val="0"/>
              <w:keepLines w:val="0"/>
              <w:pageBreakBefore w:val="0"/>
              <w:widowControl w:val="0"/>
              <w:kinsoku/>
              <w:wordWrap/>
              <w:overflowPunct/>
              <w:topLinePunct w:val="0"/>
              <w:autoSpaceDE/>
              <w:autoSpaceDN/>
              <w:bidi w:val="0"/>
              <w:adjustRightInd/>
              <w:snapToGrid/>
              <w:spacing w:line="520" w:lineRule="exact"/>
              <w:ind w:left="0" w:firstLine="0"/>
              <w:jc w:val="left"/>
              <w:textAlignment w:val="auto"/>
              <w:rPr>
                <w:rFonts w:hint="eastAsia" w:ascii="仿宋" w:hAnsi="仿宋" w:eastAsia="仿宋" w:cs="仿宋"/>
                <w:color w:val="auto"/>
                <w:kern w:val="2"/>
                <w:sz w:val="24"/>
                <w:highlight w:val="none"/>
                <w:lang w:val="en-US" w:eastAsia="zh-CN" w:bidi="ar-SA"/>
              </w:rPr>
            </w:pPr>
            <w:r>
              <w:rPr>
                <w:rFonts w:hint="eastAsia" w:ascii="仿宋" w:hAnsi="仿宋" w:eastAsia="仿宋" w:cs="仿宋"/>
                <w:sz w:val="24"/>
                <w:highlight w:val="none"/>
              </w:rPr>
              <w:t>注：未通过初步评审的</w:t>
            </w:r>
            <w:r>
              <w:rPr>
                <w:rFonts w:hint="eastAsia" w:ascii="仿宋" w:hAnsi="仿宋" w:eastAsia="仿宋" w:cs="仿宋"/>
                <w:sz w:val="24"/>
                <w:highlight w:val="none"/>
                <w:lang w:eastAsia="zh-CN"/>
              </w:rPr>
              <w:t>投标人报价</w:t>
            </w:r>
            <w:r>
              <w:rPr>
                <w:rFonts w:hint="eastAsia" w:ascii="仿宋" w:hAnsi="仿宋" w:eastAsia="仿宋" w:cs="仿宋"/>
                <w:sz w:val="24"/>
                <w:highlight w:val="none"/>
              </w:rPr>
              <w:t>不列入计算。</w:t>
            </w:r>
            <w:r>
              <w:rPr>
                <w:rFonts w:hint="eastAsia" w:ascii="仿宋" w:hAnsi="仿宋" w:eastAsia="仿宋" w:cs="仿宋"/>
                <w:bCs/>
                <w:color w:val="auto"/>
                <w:sz w:val="24"/>
                <w:szCs w:val="24"/>
                <w:highlight w:val="none"/>
                <w:lang w:val="en-US" w:eastAsia="zh-CN" w:bidi="ar-SA"/>
              </w:rPr>
              <w:t>本项目按溢价率报价，投标人应按统一溢价率报价（小数点保留两位）。</w:t>
            </w:r>
          </w:p>
        </w:tc>
      </w:tr>
    </w:tbl>
    <w:p w14:paraId="2F25EA1A">
      <w:pPr>
        <w:pStyle w:val="16"/>
        <w:pageBreakBefore w:val="0"/>
        <w:numPr>
          <w:ilvl w:val="0"/>
          <w:numId w:val="0"/>
        </w:numPr>
        <w:kinsoku/>
        <w:wordWrap/>
        <w:overflowPunct/>
        <w:topLinePunct w:val="0"/>
        <w:bidi w:val="0"/>
        <w:spacing w:line="560" w:lineRule="exact"/>
        <w:ind w:left="762" w:leftChars="181" w:hanging="382" w:hangingChars="136"/>
        <w:textAlignment w:val="auto"/>
        <w:outlineLvl w:val="0"/>
        <w:rPr>
          <w:rFonts w:hint="eastAsia" w:ascii="仿宋_GB2312" w:hAnsi="仿宋_GB2312" w:eastAsia="仿宋_GB2312" w:cs="仿宋_GB2312"/>
          <w:b/>
          <w:bCs/>
          <w:sz w:val="28"/>
          <w:szCs w:val="28"/>
          <w:lang w:val="en-US" w:eastAsia="zh-CN"/>
        </w:rPr>
      </w:pPr>
    </w:p>
    <w:p w14:paraId="724EC861">
      <w:pPr>
        <w:pStyle w:val="16"/>
        <w:pageBreakBefore w:val="0"/>
        <w:numPr>
          <w:ilvl w:val="0"/>
          <w:numId w:val="0"/>
        </w:numPr>
        <w:kinsoku/>
        <w:wordWrap/>
        <w:overflowPunct/>
        <w:topLinePunct w:val="0"/>
        <w:bidi w:val="0"/>
        <w:spacing w:line="560" w:lineRule="exact"/>
        <w:ind w:left="762" w:leftChars="181" w:hanging="382" w:hangingChars="136"/>
        <w:textAlignment w:val="auto"/>
        <w:outlineLvl w:val="0"/>
        <w:rPr>
          <w:rFonts w:hint="eastAsia" w:ascii="仿宋_GB2312" w:hAnsi="仿宋_GB2312" w:eastAsia="仿宋_GB2312" w:cs="仿宋_GB2312"/>
          <w:b/>
          <w:bCs/>
          <w:kern w:val="2"/>
          <w:sz w:val="28"/>
          <w:szCs w:val="28"/>
          <w:lang w:val="en-US" w:eastAsia="zh-CN" w:bidi="ar-SA"/>
        </w:rPr>
      </w:pPr>
      <w:r>
        <w:rPr>
          <w:rFonts w:hint="eastAsia" w:ascii="仿宋_GB2312" w:hAnsi="仿宋_GB2312" w:eastAsia="仿宋_GB2312" w:cs="仿宋_GB2312"/>
          <w:b/>
          <w:bCs/>
          <w:kern w:val="2"/>
          <w:sz w:val="28"/>
          <w:szCs w:val="28"/>
          <w:lang w:val="en-US" w:eastAsia="zh-CN" w:bidi="ar-SA"/>
        </w:rPr>
        <w:t>三、投标资格</w:t>
      </w:r>
    </w:p>
    <w:p w14:paraId="2A16D709">
      <w:pPr>
        <w:pStyle w:val="16"/>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560" w:firstLineChars="200"/>
        <w:jc w:val="left"/>
        <w:textAlignment w:val="auto"/>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kern w:val="2"/>
          <w:sz w:val="28"/>
          <w:szCs w:val="28"/>
          <w:lang w:val="en-US" w:eastAsia="zh-CN" w:bidi="ar-SA"/>
        </w:rPr>
        <w:t>1、中华人民共和国境内依法注册的具备独立法人资格的企业；</w:t>
      </w:r>
    </w:p>
    <w:p w14:paraId="73595DDB">
      <w:pPr>
        <w:pStyle w:val="16"/>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560" w:firstLineChars="200"/>
        <w:jc w:val="left"/>
        <w:textAlignment w:val="auto"/>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kern w:val="2"/>
          <w:sz w:val="28"/>
          <w:szCs w:val="28"/>
          <w:lang w:val="en-US" w:eastAsia="zh-CN" w:bidi="ar-SA"/>
        </w:rPr>
        <w:t>2、具有履行合同所必须的专业设备及场地；</w:t>
      </w:r>
    </w:p>
    <w:p w14:paraId="64B7F822">
      <w:pPr>
        <w:pStyle w:val="16"/>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560" w:firstLineChars="200"/>
        <w:jc w:val="left"/>
        <w:textAlignment w:val="auto"/>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kern w:val="2"/>
          <w:sz w:val="28"/>
          <w:szCs w:val="28"/>
          <w:lang w:val="en-US" w:eastAsia="zh-CN" w:bidi="ar-SA"/>
        </w:rPr>
        <w:t>3、具有独立承担民事责任能力和履行合同的能力；</w:t>
      </w:r>
    </w:p>
    <w:p w14:paraId="4B878A33">
      <w:pPr>
        <w:pStyle w:val="16"/>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560" w:firstLineChars="200"/>
        <w:jc w:val="left"/>
        <w:textAlignment w:val="auto"/>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kern w:val="2"/>
          <w:sz w:val="28"/>
          <w:szCs w:val="28"/>
          <w:lang w:val="en-US" w:eastAsia="zh-CN" w:bidi="ar-SA"/>
        </w:rPr>
        <w:t>4、具有良好的银行资信和商业信誉；</w:t>
      </w:r>
    </w:p>
    <w:p w14:paraId="6755E17D">
      <w:pPr>
        <w:pStyle w:val="16"/>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560" w:firstLineChars="200"/>
        <w:jc w:val="left"/>
        <w:textAlignment w:val="auto"/>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kern w:val="2"/>
          <w:sz w:val="28"/>
          <w:szCs w:val="28"/>
          <w:lang w:val="en-US" w:eastAsia="zh-CN" w:bidi="ar-SA"/>
        </w:rPr>
        <w:t>5、申请人参加投标前三年内经营活动中无违法违纪记录，没有处于被责令停业或投标资格被取消或财产被冻结的情况；</w:t>
      </w:r>
    </w:p>
    <w:p w14:paraId="6C30DC97">
      <w:pPr>
        <w:pStyle w:val="16"/>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560" w:firstLineChars="200"/>
        <w:jc w:val="left"/>
        <w:textAlignment w:val="auto"/>
        <w:rPr>
          <w:rFonts w:hint="default" w:ascii="仿宋_GB2312" w:hAnsi="仿宋_GB2312" w:eastAsia="仿宋_GB2312" w:cs="仿宋_GB2312"/>
          <w:kern w:val="2"/>
          <w:sz w:val="28"/>
          <w:szCs w:val="28"/>
          <w:lang w:val="en-US" w:eastAsia="zh-CN" w:bidi="ar-SA"/>
        </w:rPr>
      </w:pPr>
      <w:r>
        <w:rPr>
          <w:rFonts w:hint="eastAsia" w:ascii="仿宋_GB2312" w:hAnsi="仿宋_GB2312" w:eastAsia="仿宋_GB2312" w:cs="仿宋_GB2312"/>
          <w:kern w:val="2"/>
          <w:sz w:val="28"/>
          <w:szCs w:val="28"/>
          <w:lang w:val="en-US" w:eastAsia="zh-CN" w:bidi="ar-SA"/>
        </w:rPr>
        <w:t>6、不允许联合体投标，不接受转包、分包。</w:t>
      </w:r>
    </w:p>
    <w:p w14:paraId="78BFB2A9">
      <w:pPr>
        <w:pStyle w:val="16"/>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562" w:firstLineChars="200"/>
        <w:jc w:val="left"/>
        <w:textAlignment w:val="auto"/>
        <w:rPr>
          <w:rFonts w:hint="eastAsia" w:ascii="仿宋_GB2312" w:hAnsi="仿宋_GB2312" w:eastAsia="仿宋_GB2312" w:cs="仿宋_GB2312"/>
          <w:b/>
          <w:bCs/>
          <w:kern w:val="2"/>
          <w:sz w:val="28"/>
          <w:szCs w:val="28"/>
          <w:lang w:val="en-US" w:eastAsia="zh-CN" w:bidi="ar-SA"/>
        </w:rPr>
      </w:pPr>
      <w:r>
        <w:rPr>
          <w:rFonts w:hint="eastAsia" w:ascii="仿宋_GB2312" w:hAnsi="仿宋_GB2312" w:eastAsia="仿宋_GB2312" w:cs="仿宋_GB2312"/>
          <w:b/>
          <w:bCs/>
          <w:kern w:val="2"/>
          <w:sz w:val="28"/>
          <w:szCs w:val="28"/>
          <w:lang w:val="en-US" w:eastAsia="zh-CN" w:bidi="ar-SA"/>
        </w:rPr>
        <w:t>四、投标文件</w:t>
      </w:r>
    </w:p>
    <w:p w14:paraId="18EE32AD">
      <w:pPr>
        <w:pStyle w:val="16"/>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560" w:firstLineChars="200"/>
        <w:jc w:val="left"/>
        <w:textAlignment w:val="auto"/>
        <w:rPr>
          <w:rFonts w:hint="default" w:ascii="仿宋_GB2312" w:hAnsi="仿宋_GB2312" w:eastAsia="仿宋_GB2312" w:cs="仿宋_GB2312"/>
          <w:kern w:val="2"/>
          <w:sz w:val="28"/>
          <w:szCs w:val="28"/>
          <w:lang w:val="en-US" w:eastAsia="zh-CN" w:bidi="ar-SA"/>
        </w:rPr>
      </w:pPr>
      <w:r>
        <w:rPr>
          <w:rFonts w:hint="eastAsia" w:ascii="仿宋_GB2312" w:hAnsi="仿宋_GB2312" w:eastAsia="仿宋_GB2312" w:cs="仿宋_GB2312"/>
          <w:kern w:val="2"/>
          <w:sz w:val="28"/>
          <w:szCs w:val="28"/>
          <w:lang w:val="en-US" w:eastAsia="zh-CN" w:bidi="ar-SA"/>
        </w:rPr>
        <w:t>1、投标报价表；</w:t>
      </w:r>
    </w:p>
    <w:p w14:paraId="540B4972">
      <w:pPr>
        <w:pStyle w:val="16"/>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560" w:firstLineChars="200"/>
        <w:jc w:val="left"/>
        <w:textAlignment w:val="auto"/>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kern w:val="2"/>
          <w:sz w:val="28"/>
          <w:szCs w:val="28"/>
          <w:lang w:val="en-US" w:eastAsia="zh-CN" w:bidi="ar-SA"/>
        </w:rPr>
        <w:t>2、企业法人营业执照复印件；</w:t>
      </w:r>
    </w:p>
    <w:p w14:paraId="69758E2D">
      <w:pPr>
        <w:pStyle w:val="16"/>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560" w:firstLineChars="200"/>
        <w:jc w:val="left"/>
        <w:textAlignment w:val="auto"/>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kern w:val="2"/>
          <w:sz w:val="28"/>
          <w:szCs w:val="28"/>
          <w:lang w:val="en-US" w:eastAsia="zh-CN" w:bidi="ar-SA"/>
        </w:rPr>
        <w:t>3、法定代表人身份证复印件；</w:t>
      </w:r>
    </w:p>
    <w:p w14:paraId="024A64BB">
      <w:pPr>
        <w:pStyle w:val="16"/>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560" w:firstLineChars="200"/>
        <w:jc w:val="left"/>
        <w:textAlignment w:val="auto"/>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kern w:val="2"/>
          <w:sz w:val="28"/>
          <w:szCs w:val="28"/>
          <w:lang w:val="en-US" w:eastAsia="zh-CN" w:bidi="ar-SA"/>
        </w:rPr>
        <w:t>4、法定代表人授权委托书和受托人身份证复印件；</w:t>
      </w:r>
    </w:p>
    <w:p w14:paraId="142F26F9">
      <w:pPr>
        <w:pStyle w:val="16"/>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560" w:firstLineChars="200"/>
        <w:jc w:val="left"/>
        <w:textAlignment w:val="auto"/>
        <w:rPr>
          <w:rFonts w:hint="default" w:ascii="仿宋_GB2312" w:hAnsi="仿宋_GB2312" w:eastAsia="仿宋_GB2312" w:cs="仿宋_GB2312"/>
          <w:kern w:val="2"/>
          <w:sz w:val="28"/>
          <w:szCs w:val="28"/>
          <w:lang w:val="en-US" w:eastAsia="zh-CN" w:bidi="ar-SA"/>
        </w:rPr>
      </w:pPr>
      <w:r>
        <w:rPr>
          <w:rFonts w:hint="eastAsia" w:ascii="仿宋_GB2312" w:hAnsi="仿宋_GB2312" w:eastAsia="仿宋_GB2312" w:cs="仿宋_GB2312"/>
          <w:kern w:val="2"/>
          <w:sz w:val="28"/>
          <w:szCs w:val="28"/>
          <w:lang w:val="en-US" w:eastAsia="zh-CN" w:bidi="ar-SA"/>
        </w:rPr>
        <w:t>5、评分细则中相应材料。</w:t>
      </w:r>
    </w:p>
    <w:p w14:paraId="57238CB7">
      <w:pPr>
        <w:pStyle w:val="16"/>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562" w:firstLineChars="200"/>
        <w:jc w:val="left"/>
        <w:textAlignment w:val="auto"/>
        <w:rPr>
          <w:rFonts w:hint="default" w:ascii="仿宋_GB2312" w:hAnsi="仿宋_GB2312" w:eastAsia="仿宋_GB2312" w:cs="仿宋_GB2312"/>
          <w:b/>
          <w:bCs/>
          <w:kern w:val="2"/>
          <w:sz w:val="28"/>
          <w:szCs w:val="28"/>
          <w:lang w:val="en-US" w:eastAsia="zh-CN" w:bidi="ar-SA"/>
        </w:rPr>
      </w:pPr>
      <w:r>
        <w:rPr>
          <w:rFonts w:hint="eastAsia" w:ascii="仿宋_GB2312" w:hAnsi="仿宋_GB2312" w:eastAsia="仿宋_GB2312" w:cs="仿宋_GB2312"/>
          <w:b/>
          <w:bCs/>
          <w:kern w:val="2"/>
          <w:sz w:val="28"/>
          <w:szCs w:val="28"/>
          <w:lang w:val="en-US" w:eastAsia="zh-CN" w:bidi="ar-SA"/>
        </w:rPr>
        <w:t>五、项目信息</w:t>
      </w:r>
    </w:p>
    <w:p w14:paraId="24043996">
      <w:pPr>
        <w:pStyle w:val="16"/>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560" w:firstLineChars="200"/>
        <w:jc w:val="left"/>
        <w:textAlignment w:val="auto"/>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kern w:val="2"/>
          <w:sz w:val="28"/>
          <w:szCs w:val="28"/>
          <w:lang w:val="en-US" w:eastAsia="zh-CN" w:bidi="ar-SA"/>
        </w:rPr>
        <w:t>1、采购人：合肥市图书馆。</w:t>
      </w:r>
    </w:p>
    <w:p w14:paraId="56CCD37F">
      <w:pPr>
        <w:pStyle w:val="16"/>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560" w:firstLineChars="200"/>
        <w:jc w:val="left"/>
        <w:textAlignment w:val="auto"/>
        <w:rPr>
          <w:rFonts w:hint="eastAsia" w:ascii="仿宋_GB2312" w:hAnsi="仿宋_GB2312" w:eastAsia="仿宋_GB2312" w:cs="仿宋_GB2312"/>
          <w:sz w:val="28"/>
          <w:szCs w:val="28"/>
        </w:rPr>
      </w:pPr>
      <w:r>
        <w:rPr>
          <w:rFonts w:hint="eastAsia" w:ascii="仿宋_GB2312" w:hAnsi="仿宋_GB2312" w:eastAsia="仿宋_GB2312" w:cs="仿宋_GB2312"/>
          <w:kern w:val="2"/>
          <w:sz w:val="28"/>
          <w:szCs w:val="28"/>
          <w:lang w:val="en-US" w:eastAsia="zh-CN" w:bidi="ar-SA"/>
        </w:rPr>
        <w:t>2、</w:t>
      </w:r>
      <w:r>
        <w:rPr>
          <w:rFonts w:hint="eastAsia" w:ascii="仿宋_GB2312" w:hAnsi="仿宋_GB2312" w:eastAsia="仿宋_GB2312" w:cs="仿宋_GB2312"/>
          <w:sz w:val="28"/>
          <w:szCs w:val="28"/>
        </w:rPr>
        <w:t>项目预算：</w:t>
      </w:r>
      <w:r>
        <w:rPr>
          <w:rFonts w:hint="eastAsia" w:ascii="仿宋_GB2312" w:hAnsi="仿宋_GB2312" w:eastAsia="仿宋_GB2312" w:cs="仿宋_GB2312"/>
          <w:sz w:val="28"/>
          <w:szCs w:val="28"/>
          <w:lang w:val="en-US" w:eastAsia="zh-CN"/>
        </w:rPr>
        <w:t>39500</w:t>
      </w:r>
      <w:r>
        <w:rPr>
          <w:rFonts w:hint="eastAsia" w:ascii="仿宋_GB2312" w:hAnsi="仿宋_GB2312" w:eastAsia="仿宋_GB2312" w:cs="仿宋_GB2312"/>
          <w:sz w:val="28"/>
          <w:szCs w:val="28"/>
        </w:rPr>
        <w:t>元。</w:t>
      </w:r>
    </w:p>
    <w:p w14:paraId="2F62EC95">
      <w:pPr>
        <w:pStyle w:val="16"/>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560" w:firstLineChars="200"/>
        <w:jc w:val="left"/>
        <w:textAlignment w:val="auto"/>
        <w:rPr>
          <w:rFonts w:hint="eastAsia" w:ascii="仿宋_GB2312" w:hAnsi="仿宋_GB2312" w:eastAsia="仿宋_GB2312" w:cs="仿宋_GB2312"/>
          <w:sz w:val="28"/>
          <w:szCs w:val="28"/>
        </w:rPr>
      </w:pPr>
      <w:r>
        <w:rPr>
          <w:rFonts w:hint="eastAsia" w:ascii="仿宋_GB2312" w:hAnsi="仿宋_GB2312" w:eastAsia="仿宋_GB2312" w:cs="仿宋_GB2312"/>
          <w:kern w:val="2"/>
          <w:sz w:val="28"/>
          <w:szCs w:val="28"/>
          <w:lang w:val="en-US" w:eastAsia="zh-CN" w:bidi="ar-SA"/>
        </w:rPr>
        <w:t>3、</w:t>
      </w:r>
      <w:r>
        <w:rPr>
          <w:rFonts w:hint="eastAsia" w:ascii="仿宋_GB2312" w:hAnsi="仿宋_GB2312" w:eastAsia="仿宋_GB2312" w:cs="仿宋_GB2312"/>
          <w:sz w:val="28"/>
          <w:szCs w:val="28"/>
        </w:rPr>
        <w:t>付款方式：</w:t>
      </w:r>
      <w:r>
        <w:rPr>
          <w:rFonts w:hint="eastAsia" w:ascii="仿宋_GB2312" w:hAnsi="仿宋_GB2312" w:eastAsia="仿宋_GB2312" w:cs="仿宋_GB2312"/>
          <w:sz w:val="28"/>
          <w:szCs w:val="28"/>
          <w:lang w:val="en-US" w:eastAsia="zh-CN"/>
        </w:rPr>
        <w:t>按合同约定转账</w:t>
      </w:r>
      <w:r>
        <w:rPr>
          <w:rFonts w:hint="eastAsia" w:ascii="仿宋_GB2312" w:hAnsi="仿宋_GB2312" w:eastAsia="仿宋_GB2312" w:cs="仿宋_GB2312"/>
          <w:sz w:val="28"/>
          <w:szCs w:val="28"/>
        </w:rPr>
        <w:t>。</w:t>
      </w:r>
    </w:p>
    <w:p w14:paraId="6D32CA1B">
      <w:pPr>
        <w:pStyle w:val="16"/>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560" w:firstLineChars="200"/>
        <w:jc w:val="left"/>
        <w:textAlignment w:val="auto"/>
        <w:rPr>
          <w:rFonts w:hint="eastAsia" w:ascii="仿宋_GB2312" w:hAnsi="仿宋_GB2312" w:eastAsia="仿宋_GB2312" w:cs="仿宋_GB2312"/>
          <w:sz w:val="28"/>
          <w:szCs w:val="28"/>
        </w:rPr>
      </w:pPr>
      <w:r>
        <w:rPr>
          <w:rFonts w:hint="eastAsia" w:ascii="仿宋_GB2312" w:hAnsi="仿宋_GB2312" w:eastAsia="仿宋_GB2312" w:cs="仿宋_GB2312"/>
          <w:kern w:val="2"/>
          <w:sz w:val="28"/>
          <w:szCs w:val="28"/>
          <w:lang w:val="en-US" w:eastAsia="zh-CN" w:bidi="ar-SA"/>
        </w:rPr>
        <w:t>4、</w:t>
      </w:r>
      <w:r>
        <w:rPr>
          <w:rFonts w:hint="eastAsia" w:ascii="仿宋_GB2312" w:hAnsi="仿宋_GB2312" w:eastAsia="仿宋_GB2312" w:cs="仿宋_GB2312"/>
          <w:sz w:val="28"/>
          <w:szCs w:val="28"/>
          <w:lang w:val="en-US" w:eastAsia="zh-CN"/>
        </w:rPr>
        <w:t>供货</w:t>
      </w:r>
      <w:r>
        <w:rPr>
          <w:rFonts w:hint="eastAsia" w:ascii="仿宋_GB2312" w:hAnsi="仿宋_GB2312" w:eastAsia="仿宋_GB2312" w:cs="仿宋_GB2312"/>
          <w:sz w:val="28"/>
          <w:szCs w:val="28"/>
        </w:rPr>
        <w:t>期限：合同签</w:t>
      </w:r>
      <w:r>
        <w:rPr>
          <w:rFonts w:hint="eastAsia" w:ascii="仿宋_GB2312" w:hAnsi="仿宋_GB2312" w:eastAsia="仿宋_GB2312" w:cs="仿宋_GB2312"/>
          <w:sz w:val="28"/>
          <w:szCs w:val="28"/>
          <w:lang w:val="en-US" w:eastAsia="zh-CN"/>
        </w:rPr>
        <w:t>订</w:t>
      </w:r>
      <w:r>
        <w:rPr>
          <w:rFonts w:hint="eastAsia" w:ascii="仿宋_GB2312" w:hAnsi="仿宋_GB2312" w:eastAsia="仿宋_GB2312" w:cs="仿宋_GB2312"/>
          <w:sz w:val="28"/>
          <w:szCs w:val="28"/>
        </w:rPr>
        <w:t>后</w:t>
      </w:r>
      <w:r>
        <w:rPr>
          <w:rFonts w:hint="eastAsia" w:ascii="仿宋_GB2312" w:hAnsi="仿宋_GB2312" w:eastAsia="仿宋_GB2312" w:cs="仿宋_GB2312"/>
          <w:sz w:val="28"/>
          <w:szCs w:val="28"/>
          <w:lang w:val="en-US" w:eastAsia="zh-CN"/>
        </w:rPr>
        <w:t>10天</w:t>
      </w:r>
      <w:r>
        <w:rPr>
          <w:rFonts w:hint="eastAsia" w:ascii="仿宋_GB2312" w:hAnsi="仿宋_GB2312" w:eastAsia="仿宋_GB2312" w:cs="仿宋_GB2312"/>
          <w:sz w:val="28"/>
          <w:szCs w:val="28"/>
        </w:rPr>
        <w:t>。</w:t>
      </w:r>
    </w:p>
    <w:p w14:paraId="26D07EA1">
      <w:pPr>
        <w:pStyle w:val="16"/>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560" w:firstLineChars="200"/>
        <w:jc w:val="left"/>
        <w:textAlignment w:val="auto"/>
        <w:rPr>
          <w:rFonts w:hint="eastAsia" w:ascii="仿宋_GB2312" w:hAnsi="仿宋_GB2312" w:eastAsia="仿宋_GB2312" w:cs="仿宋_GB2312"/>
          <w:sz w:val="28"/>
          <w:szCs w:val="28"/>
        </w:rPr>
      </w:pPr>
      <w:r>
        <w:rPr>
          <w:rFonts w:hint="eastAsia" w:ascii="仿宋_GB2312" w:hAnsi="仿宋_GB2312" w:eastAsia="仿宋_GB2312" w:cs="仿宋_GB2312"/>
          <w:kern w:val="2"/>
          <w:sz w:val="28"/>
          <w:szCs w:val="28"/>
          <w:lang w:val="en-US" w:eastAsia="zh-CN" w:bidi="ar-SA"/>
        </w:rPr>
        <w:t>5、</w:t>
      </w:r>
      <w:r>
        <w:rPr>
          <w:rFonts w:hint="eastAsia" w:ascii="仿宋_GB2312" w:hAnsi="仿宋_GB2312" w:eastAsia="仿宋_GB2312" w:cs="仿宋_GB2312"/>
          <w:sz w:val="28"/>
          <w:szCs w:val="28"/>
        </w:rPr>
        <w:t>服务地点：采购人指定地点。</w:t>
      </w:r>
    </w:p>
    <w:p w14:paraId="7F78456A">
      <w:pPr>
        <w:pStyle w:val="16"/>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560" w:firstLineChars="200"/>
        <w:jc w:val="lef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6</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本次</w:t>
      </w:r>
      <w:r>
        <w:rPr>
          <w:rFonts w:hint="eastAsia" w:ascii="仿宋_GB2312" w:hAnsi="仿宋_GB2312" w:eastAsia="仿宋_GB2312" w:cs="仿宋_GB2312"/>
          <w:sz w:val="28"/>
          <w:szCs w:val="28"/>
          <w:lang w:val="en-US" w:eastAsia="zh-CN"/>
        </w:rPr>
        <w:t>采购比选</w:t>
      </w:r>
      <w:r>
        <w:rPr>
          <w:rFonts w:hint="eastAsia" w:ascii="仿宋_GB2312" w:hAnsi="仿宋_GB2312" w:eastAsia="仿宋_GB2312" w:cs="仿宋_GB2312"/>
          <w:sz w:val="28"/>
          <w:szCs w:val="28"/>
        </w:rPr>
        <w:t>评审方式为</w:t>
      </w:r>
      <w:r>
        <w:rPr>
          <w:rFonts w:hint="eastAsia" w:ascii="仿宋_GB2312" w:hAnsi="仿宋_GB2312" w:eastAsia="仿宋_GB2312" w:cs="仿宋_GB2312"/>
          <w:sz w:val="28"/>
          <w:szCs w:val="28"/>
          <w:lang w:val="en-US" w:eastAsia="zh-CN"/>
        </w:rPr>
        <w:t>综合评分制</w:t>
      </w:r>
      <w:r>
        <w:rPr>
          <w:rFonts w:hint="eastAsia" w:ascii="仿宋_GB2312" w:hAnsi="仿宋_GB2312" w:eastAsia="仿宋_GB2312" w:cs="仿宋_GB2312"/>
          <w:sz w:val="28"/>
          <w:szCs w:val="28"/>
        </w:rPr>
        <w:t>。</w:t>
      </w:r>
    </w:p>
    <w:p w14:paraId="583BB3D1">
      <w:pPr>
        <w:pStyle w:val="16"/>
        <w:pageBreakBefore w:val="0"/>
        <w:kinsoku/>
        <w:wordWrap/>
        <w:overflowPunct/>
        <w:topLinePunct w:val="0"/>
        <w:bidi w:val="0"/>
        <w:spacing w:line="560" w:lineRule="exact"/>
        <w:ind w:left="420" w:firstLine="0" w:firstLineChars="0"/>
        <w:jc w:val="left"/>
        <w:textAlignment w:val="auto"/>
        <w:rPr>
          <w:rFonts w:hint="eastAsia" w:ascii="仿宋_GB2312" w:hAnsi="仿宋_GB2312" w:eastAsia="仿宋_GB2312" w:cs="仿宋_GB2312"/>
          <w:sz w:val="28"/>
          <w:szCs w:val="28"/>
        </w:rPr>
      </w:pPr>
    </w:p>
    <w:p w14:paraId="48BB93D1">
      <w:pPr>
        <w:pageBreakBefore w:val="0"/>
        <w:kinsoku/>
        <w:wordWrap/>
        <w:overflowPunct/>
        <w:topLinePunct w:val="0"/>
        <w:bidi w:val="0"/>
        <w:spacing w:line="560" w:lineRule="exact"/>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 xml:space="preserve">                                           </w:t>
      </w:r>
      <w:r>
        <w:rPr>
          <w:rFonts w:hint="eastAsia" w:ascii="仿宋_GB2312" w:hAnsi="仿宋_GB2312" w:eastAsia="仿宋_GB2312" w:cs="仿宋_GB2312"/>
          <w:sz w:val="28"/>
          <w:szCs w:val="28"/>
        </w:rPr>
        <w:t>合肥市图书馆</w:t>
      </w:r>
    </w:p>
    <w:p w14:paraId="3F2540AA">
      <w:pPr>
        <w:pStyle w:val="16"/>
        <w:pageBreakBefore w:val="0"/>
        <w:kinsoku/>
        <w:wordWrap/>
        <w:overflowPunct/>
        <w:topLinePunct w:val="0"/>
        <w:bidi w:val="0"/>
        <w:spacing w:line="560" w:lineRule="exact"/>
        <w:ind w:left="420" w:leftChars="200" w:firstLine="4480" w:firstLineChars="1600"/>
        <w:jc w:val="righ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2026</w:t>
      </w:r>
      <w:r>
        <w:rPr>
          <w:rFonts w:hint="eastAsia" w:ascii="仿宋_GB2312" w:hAnsi="仿宋_GB2312" w:eastAsia="仿宋_GB2312" w:cs="仿宋_GB2312"/>
          <w:sz w:val="28"/>
          <w:szCs w:val="28"/>
        </w:rPr>
        <w:t>年</w:t>
      </w:r>
      <w:r>
        <w:rPr>
          <w:rFonts w:hint="eastAsia" w:ascii="仿宋_GB2312" w:hAnsi="仿宋_GB2312" w:eastAsia="仿宋_GB2312" w:cs="仿宋_GB2312"/>
          <w:sz w:val="28"/>
          <w:szCs w:val="28"/>
          <w:lang w:val="en-US" w:eastAsia="zh-CN"/>
        </w:rPr>
        <w:t>6</w:t>
      </w:r>
      <w:r>
        <w:rPr>
          <w:rFonts w:hint="eastAsia" w:ascii="仿宋_GB2312" w:hAnsi="仿宋_GB2312" w:eastAsia="仿宋_GB2312" w:cs="仿宋_GB2312"/>
          <w:sz w:val="28"/>
          <w:szCs w:val="28"/>
        </w:rPr>
        <w:t>月</w:t>
      </w:r>
      <w:r>
        <w:rPr>
          <w:rFonts w:hint="eastAsia" w:ascii="仿宋_GB2312" w:hAnsi="仿宋_GB2312" w:eastAsia="仿宋_GB2312" w:cs="仿宋_GB2312"/>
          <w:sz w:val="28"/>
          <w:szCs w:val="28"/>
          <w:lang w:val="en-US" w:eastAsia="zh-CN"/>
        </w:rPr>
        <w:t>3</w:t>
      </w:r>
      <w:r>
        <w:rPr>
          <w:rFonts w:hint="eastAsia" w:ascii="仿宋_GB2312" w:hAnsi="仿宋_GB2312" w:eastAsia="仿宋_GB2312" w:cs="仿宋_GB2312"/>
          <w:sz w:val="28"/>
          <w:szCs w:val="28"/>
        </w:rPr>
        <w:t>日</w:t>
      </w:r>
    </w:p>
    <w:p w14:paraId="4A1D646C">
      <w:pPr>
        <w:pageBreakBefore w:val="0"/>
        <w:kinsoku/>
        <w:wordWrap/>
        <w:overflowPunct/>
        <w:topLinePunct w:val="0"/>
        <w:bidi w:val="0"/>
        <w:spacing w:line="560" w:lineRule="exact"/>
        <w:jc w:val="left"/>
        <w:textAlignment w:val="auto"/>
        <w:outlineLvl w:val="0"/>
        <w:rPr>
          <w:rFonts w:hint="eastAsia" w:ascii="仿宋_GB2312" w:hAnsi="仿宋_GB2312" w:eastAsia="仿宋_GB2312" w:cs="仿宋_GB2312"/>
          <w:b/>
          <w:sz w:val="28"/>
          <w:szCs w:val="28"/>
        </w:rPr>
      </w:pPr>
      <w:r>
        <w:rPr>
          <w:rFonts w:hint="eastAsia" w:ascii="仿宋_GB2312" w:hAnsi="仿宋_GB2312" w:eastAsia="仿宋_GB2312" w:cs="仿宋_GB2312"/>
          <w:sz w:val="24"/>
          <w:szCs w:val="24"/>
        </w:rPr>
        <w:br w:type="page"/>
      </w:r>
      <w:r>
        <w:rPr>
          <w:rFonts w:hint="eastAsia" w:ascii="仿宋_GB2312" w:hAnsi="仿宋_GB2312" w:eastAsia="仿宋_GB2312" w:cs="仿宋_GB2312"/>
          <w:b/>
          <w:sz w:val="28"/>
          <w:szCs w:val="28"/>
        </w:rPr>
        <w:t>附件1：</w:t>
      </w:r>
    </w:p>
    <w:p w14:paraId="380FC31B">
      <w:pPr>
        <w:pageBreakBefore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kinsoku/>
        <w:wordWrap/>
        <w:overflowPunct/>
        <w:topLinePunct w:val="0"/>
        <w:autoSpaceDE w:val="0"/>
        <w:autoSpaceDN w:val="0"/>
        <w:bidi w:val="0"/>
        <w:adjustRightInd w:val="0"/>
        <w:spacing w:line="560" w:lineRule="exact"/>
        <w:jc w:val="center"/>
        <w:textAlignment w:val="auto"/>
        <w:rPr>
          <w:rFonts w:hint="eastAsia" w:ascii="仿宋_GB2312" w:hAnsi="仿宋_GB2312" w:eastAsia="仿宋_GB2312" w:cs="仿宋_GB2312"/>
          <w:b/>
          <w:bCs/>
          <w:sz w:val="28"/>
          <w:szCs w:val="32"/>
          <w:lang w:eastAsia="zh-CN"/>
        </w:rPr>
      </w:pPr>
      <w:r>
        <w:rPr>
          <w:rFonts w:hint="eastAsia" w:ascii="仿宋_GB2312" w:hAnsi="仿宋_GB2312" w:eastAsia="仿宋_GB2312" w:cs="仿宋_GB2312"/>
          <w:b/>
          <w:sz w:val="28"/>
          <w:szCs w:val="28"/>
        </w:rPr>
        <w:t>采购需求</w:t>
      </w:r>
      <w:r>
        <w:rPr>
          <w:rFonts w:hint="eastAsia" w:ascii="仿宋_GB2312" w:hAnsi="仿宋_GB2312" w:eastAsia="仿宋_GB2312" w:cs="仿宋_GB2312"/>
          <w:b/>
          <w:sz w:val="28"/>
          <w:szCs w:val="28"/>
          <w:lang w:eastAsia="zh-CN"/>
        </w:rPr>
        <w:t>（</w:t>
      </w:r>
      <w:r>
        <w:rPr>
          <w:rFonts w:hint="eastAsia" w:ascii="仿宋_GB2312" w:hAnsi="仿宋_GB2312" w:eastAsia="仿宋_GB2312" w:cs="仿宋_GB2312"/>
          <w:b/>
          <w:sz w:val="28"/>
          <w:szCs w:val="28"/>
          <w:lang w:val="en-US" w:eastAsia="zh-CN"/>
        </w:rPr>
        <w:t>工程量清单</w:t>
      </w:r>
      <w:r>
        <w:rPr>
          <w:rFonts w:hint="eastAsia" w:ascii="仿宋_GB2312" w:hAnsi="仿宋_GB2312" w:eastAsia="仿宋_GB2312" w:cs="仿宋_GB2312"/>
          <w:b/>
          <w:sz w:val="28"/>
          <w:szCs w:val="28"/>
          <w:lang w:eastAsia="zh-CN"/>
        </w:rPr>
        <w:t>）</w:t>
      </w:r>
    </w:p>
    <w:p w14:paraId="0A114042">
      <w:pPr>
        <w:pageBreakBefore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kinsoku/>
        <w:wordWrap/>
        <w:overflowPunct/>
        <w:topLinePunct w:val="0"/>
        <w:autoSpaceDE w:val="0"/>
        <w:autoSpaceDN w:val="0"/>
        <w:bidi w:val="0"/>
        <w:adjustRightInd w:val="0"/>
        <w:spacing w:line="560" w:lineRule="exact"/>
        <w:jc w:val="center"/>
        <w:textAlignment w:val="auto"/>
        <w:rPr>
          <w:rFonts w:hint="eastAsia" w:ascii="仿宋_GB2312" w:hAnsi="仿宋_GB2312" w:eastAsia="仿宋_GB2312" w:cs="仿宋_GB2312"/>
          <w:b/>
          <w:bCs/>
          <w:sz w:val="32"/>
          <w:szCs w:val="32"/>
        </w:rPr>
      </w:pPr>
    </w:p>
    <w:p w14:paraId="2FAEA2A5">
      <w:pPr>
        <w:pageBreakBefore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kinsoku/>
        <w:wordWrap/>
        <w:overflowPunct/>
        <w:topLinePunct w:val="0"/>
        <w:autoSpaceDE w:val="0"/>
        <w:autoSpaceDN w:val="0"/>
        <w:bidi w:val="0"/>
        <w:adjustRightInd w:val="0"/>
        <w:spacing w:line="560" w:lineRule="exact"/>
        <w:jc w:val="left"/>
        <w:textAlignment w:val="auto"/>
        <w:rPr>
          <w:rFonts w:hint="eastAsia" w:ascii="仿宋_GB2312" w:hAnsi="仿宋_GB2312" w:eastAsia="仿宋_GB2312" w:cs="仿宋_GB2312"/>
          <w:color w:val="262626"/>
          <w:sz w:val="28"/>
        </w:rPr>
      </w:pPr>
    </w:p>
    <w:p w14:paraId="320559BB">
      <w:pPr>
        <w:pageBreakBefore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kinsoku/>
        <w:wordWrap/>
        <w:overflowPunct/>
        <w:topLinePunct w:val="0"/>
        <w:autoSpaceDE w:val="0"/>
        <w:autoSpaceDN w:val="0"/>
        <w:bidi w:val="0"/>
        <w:adjustRightInd w:val="0"/>
        <w:spacing w:line="560" w:lineRule="exact"/>
        <w:ind w:firstLine="570"/>
        <w:textAlignment w:val="auto"/>
        <w:rPr>
          <w:rFonts w:hint="eastAsia" w:ascii="仿宋_GB2312" w:hAnsi="仿宋_GB2312" w:eastAsia="仿宋_GB2312" w:cs="仿宋_GB2312"/>
          <w:color w:val="262626"/>
          <w:sz w:val="28"/>
        </w:rPr>
      </w:pPr>
    </w:p>
    <w:p w14:paraId="50E57120">
      <w:pPr>
        <w:pageBreakBefore w:val="0"/>
        <w:kinsoku/>
        <w:wordWrap/>
        <w:overflowPunct/>
        <w:topLinePunct w:val="0"/>
        <w:bidi w:val="0"/>
        <w:spacing w:line="560" w:lineRule="exact"/>
        <w:jc w:val="center"/>
        <w:textAlignment w:val="auto"/>
        <w:rPr>
          <w:rFonts w:hint="eastAsia" w:ascii="仿宋_GB2312" w:hAnsi="仿宋_GB2312" w:eastAsia="仿宋_GB2312" w:cs="仿宋_GB2312"/>
          <w:sz w:val="28"/>
        </w:rPr>
        <w:sectPr>
          <w:footerReference r:id="rId3" w:type="default"/>
          <w:pgSz w:w="11906" w:h="16838"/>
          <w:pgMar w:top="1440" w:right="1800" w:bottom="1440" w:left="1800" w:header="851" w:footer="992" w:gutter="0"/>
          <w:cols w:space="425" w:num="1"/>
          <w:docGrid w:type="lines" w:linePitch="312" w:charSpace="0"/>
        </w:sectPr>
      </w:pPr>
    </w:p>
    <w:p w14:paraId="3FABE409">
      <w:pPr>
        <w:pStyle w:val="16"/>
        <w:pageBreakBefore w:val="0"/>
        <w:kinsoku/>
        <w:wordWrap/>
        <w:overflowPunct/>
        <w:topLinePunct w:val="0"/>
        <w:bidi w:val="0"/>
        <w:spacing w:line="560" w:lineRule="exact"/>
        <w:ind w:left="709" w:firstLine="0" w:firstLineChars="0"/>
        <w:jc w:val="left"/>
        <w:textAlignment w:val="auto"/>
        <w:outlineLvl w:val="0"/>
        <w:rPr>
          <w:rFonts w:hint="eastAsia" w:ascii="仿宋_GB2312" w:hAnsi="仿宋_GB2312" w:eastAsia="仿宋_GB2312" w:cs="仿宋_GB2312"/>
          <w:b/>
          <w:sz w:val="28"/>
          <w:szCs w:val="28"/>
        </w:rPr>
      </w:pPr>
      <w:r>
        <w:rPr>
          <w:rFonts w:hint="eastAsia" w:ascii="仿宋_GB2312" w:hAnsi="仿宋_GB2312" w:eastAsia="仿宋_GB2312" w:cs="仿宋_GB2312"/>
          <w:b/>
          <w:sz w:val="28"/>
          <w:szCs w:val="28"/>
        </w:rPr>
        <w:t>附件2：</w:t>
      </w:r>
    </w:p>
    <w:p w14:paraId="559E19CC">
      <w:pPr>
        <w:pageBreakBefore w:val="0"/>
        <w:kinsoku/>
        <w:wordWrap/>
        <w:overflowPunct/>
        <w:topLinePunct w:val="0"/>
        <w:bidi w:val="0"/>
        <w:spacing w:line="560" w:lineRule="exact"/>
        <w:jc w:val="center"/>
        <w:textAlignment w:val="auto"/>
        <w:outlineLvl w:val="0"/>
        <w:rPr>
          <w:rFonts w:hint="eastAsia" w:ascii="仿宋_GB2312" w:hAnsi="仿宋_GB2312" w:eastAsia="仿宋_GB2312" w:cs="仿宋_GB2312"/>
          <w:b/>
          <w:sz w:val="28"/>
          <w:szCs w:val="28"/>
        </w:rPr>
      </w:pPr>
      <w:r>
        <w:rPr>
          <w:rFonts w:hint="eastAsia" w:ascii="仿宋_GB2312" w:hAnsi="仿宋_GB2312" w:eastAsia="仿宋_GB2312" w:cs="仿宋_GB2312"/>
          <w:b/>
          <w:sz w:val="28"/>
          <w:szCs w:val="28"/>
        </w:rPr>
        <w:t>报价表格式</w:t>
      </w:r>
    </w:p>
    <w:p w14:paraId="2F3CACBC">
      <w:pPr>
        <w:pageBreakBefore w:val="0"/>
        <w:kinsoku/>
        <w:wordWrap/>
        <w:overflowPunct/>
        <w:topLinePunct w:val="0"/>
        <w:bidi w:val="0"/>
        <w:spacing w:beforeLines="50" w:afterLines="50" w:line="560" w:lineRule="exact"/>
        <w:jc w:val="left"/>
        <w:textAlignment w:val="auto"/>
        <w:rPr>
          <w:rFonts w:hint="eastAsia" w:ascii="仿宋_GB2312" w:hAnsi="仿宋_GB2312" w:eastAsia="仿宋_GB2312" w:cs="仿宋_GB2312"/>
          <w:b/>
          <w:sz w:val="24"/>
          <w:szCs w:val="28"/>
        </w:rPr>
      </w:pPr>
      <w:r>
        <w:rPr>
          <w:rFonts w:hint="eastAsia" w:ascii="仿宋_GB2312" w:hAnsi="仿宋_GB2312" w:eastAsia="仿宋_GB2312" w:cs="仿宋_GB2312"/>
          <w:b/>
          <w:sz w:val="24"/>
          <w:szCs w:val="28"/>
        </w:rPr>
        <w:t>1-1 报价表</w:t>
      </w:r>
    </w:p>
    <w:p w14:paraId="606E4790">
      <w:pPr>
        <w:pageBreakBefore w:val="0"/>
        <w:kinsoku/>
        <w:wordWrap/>
        <w:overflowPunct/>
        <w:topLinePunct w:val="0"/>
        <w:bidi w:val="0"/>
        <w:snapToGrid w:val="0"/>
        <w:spacing w:line="560" w:lineRule="exact"/>
        <w:jc w:val="left"/>
        <w:textAlignment w:val="auto"/>
        <w:rPr>
          <w:rFonts w:hint="eastAsia" w:ascii="仿宋_GB2312" w:hAnsi="仿宋_GB2312" w:eastAsia="仿宋_GB2312" w:cs="仿宋_GB2312"/>
          <w:b/>
          <w:sz w:val="24"/>
          <w:szCs w:val="28"/>
        </w:rPr>
      </w:pPr>
      <w:r>
        <w:rPr>
          <w:rFonts w:hint="eastAsia" w:ascii="仿宋_GB2312" w:hAnsi="仿宋_GB2312" w:eastAsia="仿宋_GB2312" w:cs="仿宋_GB2312"/>
          <w:b/>
          <w:sz w:val="24"/>
          <w:szCs w:val="28"/>
        </w:rPr>
        <w:t>项目名称：</w:t>
      </w:r>
      <w:r>
        <w:rPr>
          <w:rFonts w:hint="eastAsia" w:ascii="仿宋_GB2312" w:hAnsi="仿宋_GB2312" w:eastAsia="仿宋_GB2312" w:cs="仿宋_GB2312"/>
          <w:b/>
          <w:sz w:val="24"/>
          <w:szCs w:val="28"/>
          <w:u w:val="single"/>
        </w:rPr>
        <w:t xml:space="preserve">     合肥市图书馆工会会员2026年</w:t>
      </w:r>
      <w:r>
        <w:rPr>
          <w:rFonts w:hint="eastAsia" w:ascii="仿宋_GB2312" w:hAnsi="仿宋_GB2312" w:eastAsia="仿宋_GB2312" w:cs="仿宋_GB2312"/>
          <w:b/>
          <w:sz w:val="24"/>
          <w:szCs w:val="28"/>
          <w:u w:val="single"/>
          <w:lang w:val="en-US" w:eastAsia="zh-CN"/>
        </w:rPr>
        <w:t>端午</w:t>
      </w:r>
      <w:r>
        <w:rPr>
          <w:rFonts w:hint="eastAsia" w:ascii="仿宋_GB2312" w:hAnsi="仿宋_GB2312" w:eastAsia="仿宋_GB2312" w:cs="仿宋_GB2312"/>
          <w:b/>
          <w:sz w:val="24"/>
          <w:szCs w:val="28"/>
          <w:u w:val="single"/>
        </w:rPr>
        <w:t xml:space="preserve">节慰问品提货券      </w:t>
      </w:r>
    </w:p>
    <w:p w14:paraId="01F45133">
      <w:pPr>
        <w:pageBreakBefore w:val="0"/>
        <w:kinsoku/>
        <w:wordWrap/>
        <w:overflowPunct/>
        <w:topLinePunct w:val="0"/>
        <w:bidi w:val="0"/>
        <w:snapToGrid w:val="0"/>
        <w:spacing w:afterLines="50" w:line="560" w:lineRule="exact"/>
        <w:jc w:val="left"/>
        <w:textAlignment w:val="auto"/>
        <w:rPr>
          <w:rFonts w:hint="eastAsia" w:ascii="仿宋_GB2312" w:hAnsi="仿宋_GB2312" w:eastAsia="仿宋_GB2312" w:cs="仿宋_GB2312"/>
          <w:b/>
          <w:bCs/>
          <w:sz w:val="24"/>
          <w:szCs w:val="28"/>
          <w:u w:val="single"/>
        </w:rPr>
      </w:pPr>
    </w:p>
    <w:tbl>
      <w:tblPr>
        <w:tblStyle w:val="14"/>
        <w:tblW w:w="912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633"/>
        <w:gridCol w:w="1623"/>
        <w:gridCol w:w="1623"/>
        <w:gridCol w:w="1852"/>
        <w:gridCol w:w="1394"/>
      </w:tblGrid>
      <w:tr w14:paraId="15748E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6" w:hRule="atLeast"/>
        </w:trPr>
        <w:tc>
          <w:tcPr>
            <w:tcW w:w="2633" w:type="dxa"/>
            <w:tcBorders>
              <w:top w:val="single" w:color="auto" w:sz="4" w:space="0"/>
              <w:left w:val="single" w:color="auto" w:sz="4" w:space="0"/>
              <w:bottom w:val="single" w:color="auto" w:sz="4" w:space="0"/>
              <w:right w:val="single" w:color="auto" w:sz="4" w:space="0"/>
            </w:tcBorders>
            <w:vAlign w:val="center"/>
          </w:tcPr>
          <w:p w14:paraId="2B2D21F1">
            <w:pPr>
              <w:pageBreakBefore w:val="0"/>
              <w:kinsoku/>
              <w:wordWrap/>
              <w:overflowPunct/>
              <w:topLinePunct w:val="0"/>
              <w:bidi w:val="0"/>
              <w:spacing w:line="560" w:lineRule="exact"/>
              <w:jc w:val="center"/>
              <w:textAlignment w:val="auto"/>
              <w:rPr>
                <w:rFonts w:hint="eastAsia" w:ascii="仿宋_GB2312" w:hAnsi="仿宋_GB2312" w:eastAsia="仿宋_GB2312" w:cs="仿宋_GB2312"/>
                <w:b/>
                <w:sz w:val="24"/>
              </w:rPr>
            </w:pPr>
            <w:r>
              <w:rPr>
                <w:rFonts w:hint="eastAsia" w:ascii="仿宋_GB2312" w:hAnsi="仿宋_GB2312" w:eastAsia="仿宋_GB2312" w:cs="仿宋_GB2312"/>
                <w:b/>
                <w:sz w:val="24"/>
              </w:rPr>
              <w:t>供应商名称</w:t>
            </w:r>
          </w:p>
        </w:tc>
        <w:tc>
          <w:tcPr>
            <w:tcW w:w="6492" w:type="dxa"/>
            <w:gridSpan w:val="4"/>
            <w:tcBorders>
              <w:left w:val="single" w:color="auto" w:sz="4" w:space="0"/>
            </w:tcBorders>
          </w:tcPr>
          <w:p w14:paraId="76A109BF">
            <w:pPr>
              <w:pageBreakBefore w:val="0"/>
              <w:kinsoku/>
              <w:wordWrap/>
              <w:overflowPunct/>
              <w:topLinePunct w:val="0"/>
              <w:bidi w:val="0"/>
              <w:spacing w:line="560" w:lineRule="exact"/>
              <w:textAlignment w:val="auto"/>
              <w:rPr>
                <w:rFonts w:hint="eastAsia" w:ascii="仿宋_GB2312" w:hAnsi="仿宋_GB2312" w:eastAsia="仿宋_GB2312" w:cs="仿宋_GB2312"/>
                <w:b/>
                <w:sz w:val="24"/>
              </w:rPr>
            </w:pPr>
          </w:p>
        </w:tc>
      </w:tr>
      <w:tr w14:paraId="35CC3F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5" w:hRule="atLeast"/>
        </w:trPr>
        <w:tc>
          <w:tcPr>
            <w:tcW w:w="2633" w:type="dxa"/>
            <w:tcBorders>
              <w:top w:val="single" w:color="auto" w:sz="4" w:space="0"/>
              <w:left w:val="single" w:color="auto" w:sz="4" w:space="0"/>
              <w:bottom w:val="single" w:color="auto" w:sz="4" w:space="0"/>
              <w:right w:val="single" w:color="auto" w:sz="4" w:space="0"/>
            </w:tcBorders>
            <w:vAlign w:val="center"/>
          </w:tcPr>
          <w:p w14:paraId="0E09F429">
            <w:pPr>
              <w:pageBreakBefore w:val="0"/>
              <w:kinsoku/>
              <w:wordWrap/>
              <w:overflowPunct/>
              <w:topLinePunct w:val="0"/>
              <w:bidi w:val="0"/>
              <w:spacing w:line="560" w:lineRule="exact"/>
              <w:jc w:val="center"/>
              <w:textAlignment w:val="auto"/>
              <w:rPr>
                <w:rFonts w:hint="eastAsia" w:ascii="仿宋_GB2312" w:hAnsi="仿宋_GB2312" w:eastAsia="仿宋_GB2312" w:cs="仿宋_GB2312"/>
                <w:b/>
                <w:sz w:val="24"/>
              </w:rPr>
            </w:pPr>
            <w:r>
              <w:rPr>
                <w:rFonts w:hint="eastAsia" w:ascii="仿宋_GB2312" w:hAnsi="仿宋_GB2312" w:eastAsia="仿宋_GB2312" w:cs="仿宋_GB2312"/>
                <w:b/>
                <w:sz w:val="24"/>
              </w:rPr>
              <w:t>报价范围</w:t>
            </w:r>
          </w:p>
        </w:tc>
        <w:tc>
          <w:tcPr>
            <w:tcW w:w="6492" w:type="dxa"/>
            <w:gridSpan w:val="4"/>
            <w:tcBorders>
              <w:left w:val="single" w:color="auto" w:sz="4" w:space="0"/>
            </w:tcBorders>
            <w:vAlign w:val="center"/>
          </w:tcPr>
          <w:p w14:paraId="747A19DA">
            <w:pPr>
              <w:pageBreakBefore w:val="0"/>
              <w:widowControl/>
              <w:kinsoku/>
              <w:wordWrap/>
              <w:overflowPunct/>
              <w:topLinePunct w:val="0"/>
              <w:bidi w:val="0"/>
              <w:spacing w:line="560" w:lineRule="exact"/>
              <w:textAlignment w:val="auto"/>
              <w:rPr>
                <w:rFonts w:hint="eastAsia" w:ascii="仿宋_GB2312" w:hAnsi="仿宋_GB2312" w:eastAsia="仿宋_GB2312" w:cs="仿宋_GB2312"/>
                <w:b/>
                <w:sz w:val="24"/>
              </w:rPr>
            </w:pPr>
            <w:r>
              <w:rPr>
                <w:rFonts w:hint="eastAsia" w:ascii="仿宋_GB2312" w:hAnsi="仿宋_GB2312" w:eastAsia="仿宋_GB2312" w:cs="仿宋_GB2312"/>
                <w:sz w:val="24"/>
                <w:szCs w:val="28"/>
              </w:rPr>
              <w:t>全部</w:t>
            </w:r>
          </w:p>
        </w:tc>
      </w:tr>
      <w:tr w14:paraId="3ACA93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0" w:hRule="atLeast"/>
        </w:trPr>
        <w:tc>
          <w:tcPr>
            <w:tcW w:w="2633" w:type="dxa"/>
            <w:vMerge w:val="restart"/>
            <w:tcBorders>
              <w:top w:val="single" w:color="auto" w:sz="4" w:space="0"/>
            </w:tcBorders>
            <w:vAlign w:val="center"/>
          </w:tcPr>
          <w:p w14:paraId="08542D6A">
            <w:pPr>
              <w:pageBreakBefore w:val="0"/>
              <w:kinsoku/>
              <w:wordWrap/>
              <w:overflowPunct/>
              <w:topLinePunct w:val="0"/>
              <w:bidi w:val="0"/>
              <w:spacing w:line="560" w:lineRule="exact"/>
              <w:jc w:val="center"/>
              <w:textAlignment w:val="auto"/>
              <w:rPr>
                <w:rFonts w:hint="eastAsia" w:ascii="仿宋_GB2312" w:hAnsi="仿宋_GB2312" w:eastAsia="仿宋_GB2312" w:cs="仿宋_GB2312"/>
                <w:b/>
                <w:sz w:val="24"/>
              </w:rPr>
            </w:pPr>
            <w:r>
              <w:rPr>
                <w:rFonts w:hint="eastAsia" w:ascii="仿宋_GB2312" w:hAnsi="仿宋_GB2312" w:eastAsia="仿宋_GB2312" w:cs="仿宋_GB2312"/>
                <w:b/>
                <w:sz w:val="24"/>
              </w:rPr>
              <w:t>报价</w:t>
            </w:r>
          </w:p>
          <w:p w14:paraId="23B99344">
            <w:pPr>
              <w:pageBreakBefore w:val="0"/>
              <w:kinsoku/>
              <w:wordWrap/>
              <w:overflowPunct/>
              <w:topLinePunct w:val="0"/>
              <w:bidi w:val="0"/>
              <w:spacing w:line="560" w:lineRule="exact"/>
              <w:jc w:val="center"/>
              <w:textAlignment w:val="auto"/>
              <w:rPr>
                <w:rFonts w:hint="eastAsia" w:ascii="仿宋_GB2312" w:hAnsi="仿宋_GB2312" w:eastAsia="仿宋_GB2312" w:cs="仿宋_GB2312"/>
                <w:b/>
                <w:sz w:val="24"/>
              </w:rPr>
            </w:pPr>
            <w:r>
              <w:rPr>
                <w:rFonts w:hint="eastAsia" w:ascii="仿宋_GB2312" w:hAnsi="仿宋_GB2312" w:eastAsia="仿宋_GB2312" w:cs="仿宋_GB2312"/>
                <w:b/>
                <w:sz w:val="24"/>
              </w:rPr>
              <w:t>（详见备注说明）</w:t>
            </w:r>
          </w:p>
        </w:tc>
        <w:tc>
          <w:tcPr>
            <w:tcW w:w="1623" w:type="dxa"/>
            <w:vAlign w:val="center"/>
          </w:tcPr>
          <w:p w14:paraId="28938F90">
            <w:pPr>
              <w:pageBreakBefore w:val="0"/>
              <w:widowControl/>
              <w:kinsoku/>
              <w:wordWrap/>
              <w:overflowPunct/>
              <w:topLinePunct w:val="0"/>
              <w:bidi w:val="0"/>
              <w:spacing w:line="560" w:lineRule="exact"/>
              <w:jc w:val="center"/>
              <w:textAlignment w:val="auto"/>
              <w:rPr>
                <w:rFonts w:hint="eastAsia" w:ascii="仿宋_GB2312" w:hAnsi="仿宋_GB2312" w:eastAsia="仿宋_GB2312" w:cs="仿宋_GB2312"/>
                <w:b/>
                <w:bCs/>
                <w:sz w:val="24"/>
                <w:szCs w:val="28"/>
              </w:rPr>
            </w:pPr>
            <w:r>
              <w:rPr>
                <w:rFonts w:hint="eastAsia" w:ascii="仿宋_GB2312" w:hAnsi="仿宋_GB2312" w:eastAsia="仿宋_GB2312" w:cs="仿宋_GB2312"/>
                <w:b/>
                <w:bCs/>
                <w:sz w:val="24"/>
                <w:szCs w:val="28"/>
                <w:lang w:val="en-US" w:eastAsia="zh-CN"/>
              </w:rPr>
              <w:t>数量</w:t>
            </w:r>
          </w:p>
        </w:tc>
        <w:tc>
          <w:tcPr>
            <w:tcW w:w="1623" w:type="dxa"/>
            <w:vAlign w:val="center"/>
          </w:tcPr>
          <w:p w14:paraId="495C0F05">
            <w:pPr>
              <w:pageBreakBefore w:val="0"/>
              <w:widowControl/>
              <w:kinsoku/>
              <w:wordWrap/>
              <w:overflowPunct/>
              <w:topLinePunct w:val="0"/>
              <w:bidi w:val="0"/>
              <w:spacing w:line="560" w:lineRule="exact"/>
              <w:jc w:val="center"/>
              <w:textAlignment w:val="auto"/>
              <w:rPr>
                <w:rFonts w:hint="default" w:ascii="仿宋_GB2312" w:hAnsi="仿宋_GB2312" w:eastAsia="仿宋_GB2312" w:cs="仿宋_GB2312"/>
                <w:b/>
                <w:bCs/>
                <w:sz w:val="24"/>
                <w:szCs w:val="28"/>
                <w:lang w:val="en-US" w:eastAsia="zh-CN"/>
              </w:rPr>
            </w:pPr>
            <w:r>
              <w:rPr>
                <w:rFonts w:hint="eastAsia" w:ascii="仿宋_GB2312" w:hAnsi="仿宋_GB2312" w:eastAsia="仿宋_GB2312" w:cs="仿宋_GB2312"/>
                <w:b/>
                <w:bCs/>
                <w:sz w:val="24"/>
                <w:szCs w:val="28"/>
                <w:lang w:val="en-US" w:eastAsia="zh-CN"/>
              </w:rPr>
              <w:t>每份报价</w:t>
            </w:r>
          </w:p>
        </w:tc>
        <w:tc>
          <w:tcPr>
            <w:tcW w:w="1852" w:type="dxa"/>
            <w:vAlign w:val="center"/>
          </w:tcPr>
          <w:p w14:paraId="0B3C800E">
            <w:pPr>
              <w:pageBreakBefore w:val="0"/>
              <w:widowControl/>
              <w:kinsoku/>
              <w:wordWrap/>
              <w:overflowPunct/>
              <w:topLinePunct w:val="0"/>
              <w:bidi w:val="0"/>
              <w:spacing w:line="560" w:lineRule="exact"/>
              <w:jc w:val="center"/>
              <w:textAlignment w:val="auto"/>
              <w:rPr>
                <w:rFonts w:hint="eastAsia" w:ascii="仿宋_GB2312" w:hAnsi="仿宋_GB2312" w:eastAsia="仿宋_GB2312" w:cs="仿宋_GB2312"/>
                <w:b/>
                <w:bCs/>
                <w:sz w:val="24"/>
                <w:szCs w:val="28"/>
                <w:lang w:val="en-US" w:eastAsia="zh-CN"/>
              </w:rPr>
            </w:pPr>
            <w:r>
              <w:rPr>
                <w:rFonts w:hint="eastAsia" w:ascii="仿宋_GB2312" w:hAnsi="仿宋_GB2312" w:eastAsia="仿宋_GB2312" w:cs="仿宋_GB2312"/>
                <w:b/>
                <w:bCs/>
                <w:sz w:val="24"/>
                <w:szCs w:val="28"/>
                <w:lang w:val="en-US" w:eastAsia="zh-CN"/>
              </w:rPr>
              <w:t>实际使用面额</w:t>
            </w:r>
          </w:p>
        </w:tc>
        <w:tc>
          <w:tcPr>
            <w:tcW w:w="1394" w:type="dxa"/>
            <w:vAlign w:val="center"/>
          </w:tcPr>
          <w:p w14:paraId="10C8D159">
            <w:pPr>
              <w:pageBreakBefore w:val="0"/>
              <w:widowControl/>
              <w:kinsoku/>
              <w:wordWrap/>
              <w:overflowPunct/>
              <w:topLinePunct w:val="0"/>
              <w:bidi w:val="0"/>
              <w:spacing w:line="560" w:lineRule="exact"/>
              <w:jc w:val="center"/>
              <w:textAlignment w:val="auto"/>
              <w:rPr>
                <w:rFonts w:hint="eastAsia" w:ascii="仿宋_GB2312" w:hAnsi="仿宋_GB2312" w:eastAsia="仿宋_GB2312" w:cs="仿宋_GB2312"/>
                <w:b/>
                <w:bCs/>
                <w:sz w:val="24"/>
                <w:szCs w:val="28"/>
                <w:lang w:val="en-US" w:eastAsia="zh-CN"/>
              </w:rPr>
            </w:pPr>
            <w:r>
              <w:rPr>
                <w:rFonts w:hint="eastAsia" w:ascii="仿宋_GB2312" w:hAnsi="仿宋_GB2312" w:eastAsia="仿宋_GB2312" w:cs="仿宋_GB2312"/>
                <w:b/>
                <w:bCs/>
                <w:sz w:val="24"/>
                <w:szCs w:val="28"/>
                <w:lang w:val="en-US" w:eastAsia="zh-CN"/>
              </w:rPr>
              <w:t>溢价率</w:t>
            </w:r>
          </w:p>
        </w:tc>
      </w:tr>
      <w:tr w14:paraId="07A3DE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0" w:hRule="atLeast"/>
        </w:trPr>
        <w:tc>
          <w:tcPr>
            <w:tcW w:w="2633" w:type="dxa"/>
            <w:vMerge w:val="continue"/>
            <w:vAlign w:val="center"/>
          </w:tcPr>
          <w:p w14:paraId="3B1D334A">
            <w:pPr>
              <w:pageBreakBefore w:val="0"/>
              <w:kinsoku/>
              <w:wordWrap/>
              <w:overflowPunct/>
              <w:topLinePunct w:val="0"/>
              <w:bidi w:val="0"/>
              <w:snapToGrid w:val="0"/>
              <w:spacing w:line="560" w:lineRule="exact"/>
              <w:textAlignment w:val="auto"/>
            </w:pPr>
          </w:p>
        </w:tc>
        <w:tc>
          <w:tcPr>
            <w:tcW w:w="1623" w:type="dxa"/>
            <w:vAlign w:val="center"/>
          </w:tcPr>
          <w:p w14:paraId="359639E3">
            <w:pPr>
              <w:pageBreakBefore w:val="0"/>
              <w:widowControl/>
              <w:kinsoku/>
              <w:wordWrap/>
              <w:overflowPunct/>
              <w:topLinePunct w:val="0"/>
              <w:bidi w:val="0"/>
              <w:spacing w:line="560" w:lineRule="exact"/>
              <w:jc w:val="center"/>
              <w:textAlignment w:val="auto"/>
              <w:rPr>
                <w:rFonts w:hint="default" w:ascii="仿宋_GB2312" w:hAnsi="仿宋_GB2312" w:eastAsia="仿宋_GB2312" w:cs="仿宋_GB2312"/>
                <w:sz w:val="24"/>
                <w:szCs w:val="28"/>
                <w:lang w:val="en-US" w:eastAsia="zh-CN"/>
              </w:rPr>
            </w:pPr>
            <w:r>
              <w:rPr>
                <w:rFonts w:hint="eastAsia" w:ascii="仿宋_GB2312" w:hAnsi="仿宋_GB2312" w:eastAsia="仿宋_GB2312" w:cs="仿宋_GB2312"/>
                <w:sz w:val="24"/>
                <w:szCs w:val="28"/>
                <w:lang w:val="en-US" w:eastAsia="zh-CN"/>
              </w:rPr>
              <w:t>79</w:t>
            </w:r>
          </w:p>
        </w:tc>
        <w:tc>
          <w:tcPr>
            <w:tcW w:w="1623" w:type="dxa"/>
            <w:vAlign w:val="center"/>
          </w:tcPr>
          <w:p w14:paraId="5D80F1DE">
            <w:pPr>
              <w:pageBreakBefore w:val="0"/>
              <w:widowControl/>
              <w:kinsoku/>
              <w:wordWrap/>
              <w:overflowPunct/>
              <w:topLinePunct w:val="0"/>
              <w:bidi w:val="0"/>
              <w:spacing w:line="560" w:lineRule="exact"/>
              <w:jc w:val="center"/>
              <w:textAlignment w:val="auto"/>
              <w:rPr>
                <w:rFonts w:hint="default" w:ascii="仿宋_GB2312" w:hAnsi="仿宋_GB2312" w:eastAsia="仿宋_GB2312" w:cs="仿宋_GB2312"/>
                <w:sz w:val="24"/>
                <w:szCs w:val="28"/>
                <w:lang w:val="en-US" w:eastAsia="zh-CN"/>
              </w:rPr>
            </w:pPr>
            <w:r>
              <w:rPr>
                <w:rFonts w:hint="eastAsia" w:ascii="仿宋_GB2312" w:hAnsi="仿宋_GB2312" w:eastAsia="仿宋_GB2312" w:cs="仿宋_GB2312"/>
                <w:sz w:val="24"/>
                <w:szCs w:val="28"/>
                <w:lang w:val="en-US" w:eastAsia="zh-CN"/>
              </w:rPr>
              <w:t>500</w:t>
            </w:r>
          </w:p>
        </w:tc>
        <w:tc>
          <w:tcPr>
            <w:tcW w:w="1852" w:type="dxa"/>
            <w:vAlign w:val="center"/>
          </w:tcPr>
          <w:p w14:paraId="2642274E">
            <w:pPr>
              <w:pageBreakBefore w:val="0"/>
              <w:kinsoku/>
              <w:wordWrap/>
              <w:overflowPunct/>
              <w:topLinePunct w:val="0"/>
              <w:bidi w:val="0"/>
              <w:snapToGrid w:val="0"/>
              <w:spacing w:line="560" w:lineRule="exact"/>
              <w:textAlignment w:val="auto"/>
              <w:rPr>
                <w:rFonts w:hint="eastAsia" w:ascii="仿宋_GB2312" w:hAnsi="仿宋_GB2312" w:eastAsia="仿宋_GB2312" w:cs="仿宋_GB2312"/>
                <w:b/>
                <w:sz w:val="24"/>
              </w:rPr>
            </w:pPr>
          </w:p>
        </w:tc>
        <w:tc>
          <w:tcPr>
            <w:tcW w:w="1394" w:type="dxa"/>
            <w:vAlign w:val="center"/>
          </w:tcPr>
          <w:p w14:paraId="10DC659B">
            <w:pPr>
              <w:pageBreakBefore w:val="0"/>
              <w:kinsoku/>
              <w:wordWrap/>
              <w:overflowPunct/>
              <w:topLinePunct w:val="0"/>
              <w:bidi w:val="0"/>
              <w:snapToGrid w:val="0"/>
              <w:spacing w:line="560" w:lineRule="exact"/>
              <w:textAlignment w:val="auto"/>
              <w:rPr>
                <w:rFonts w:hint="eastAsia" w:ascii="仿宋_GB2312" w:hAnsi="仿宋_GB2312" w:eastAsia="仿宋_GB2312" w:cs="仿宋_GB2312"/>
                <w:b/>
                <w:sz w:val="24"/>
              </w:rPr>
            </w:pPr>
          </w:p>
        </w:tc>
      </w:tr>
      <w:tr w14:paraId="338C84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7" w:hRule="atLeast"/>
        </w:trPr>
        <w:tc>
          <w:tcPr>
            <w:tcW w:w="2633" w:type="dxa"/>
            <w:vAlign w:val="center"/>
          </w:tcPr>
          <w:p w14:paraId="2E783A92">
            <w:pPr>
              <w:pageBreakBefore w:val="0"/>
              <w:kinsoku/>
              <w:wordWrap/>
              <w:overflowPunct/>
              <w:topLinePunct w:val="0"/>
              <w:bidi w:val="0"/>
              <w:spacing w:line="560" w:lineRule="exact"/>
              <w:jc w:val="center"/>
              <w:textAlignment w:val="auto"/>
              <w:rPr>
                <w:rFonts w:hint="eastAsia" w:ascii="仿宋_GB2312" w:hAnsi="仿宋_GB2312" w:eastAsia="仿宋_GB2312" w:cs="仿宋_GB2312"/>
                <w:b/>
                <w:sz w:val="24"/>
                <w:lang w:val="en-US" w:eastAsia="zh-CN"/>
              </w:rPr>
            </w:pPr>
            <w:r>
              <w:rPr>
                <w:rFonts w:hint="eastAsia" w:ascii="仿宋_GB2312" w:hAnsi="仿宋_GB2312" w:eastAsia="仿宋_GB2312" w:cs="仿宋_GB2312"/>
                <w:b/>
                <w:sz w:val="24"/>
                <w:lang w:val="en-US" w:eastAsia="zh-CN"/>
              </w:rPr>
              <w:t>总价</w:t>
            </w:r>
          </w:p>
        </w:tc>
        <w:tc>
          <w:tcPr>
            <w:tcW w:w="6492" w:type="dxa"/>
            <w:gridSpan w:val="4"/>
            <w:vAlign w:val="center"/>
          </w:tcPr>
          <w:p w14:paraId="5F1275F6">
            <w:pPr>
              <w:pageBreakBefore w:val="0"/>
              <w:kinsoku/>
              <w:wordWrap/>
              <w:overflowPunct/>
              <w:topLinePunct w:val="0"/>
              <w:bidi w:val="0"/>
              <w:snapToGrid w:val="0"/>
              <w:spacing w:line="560" w:lineRule="exact"/>
              <w:jc w:val="both"/>
              <w:textAlignment w:val="auto"/>
              <w:rPr>
                <w:rFonts w:hint="default" w:ascii="仿宋_GB2312" w:hAnsi="仿宋_GB2312" w:eastAsia="仿宋_GB2312" w:cs="仿宋_GB2312"/>
                <w:b/>
                <w:sz w:val="24"/>
                <w:lang w:val="en-US" w:eastAsia="zh-CN"/>
              </w:rPr>
            </w:pPr>
            <w:r>
              <w:rPr>
                <w:rFonts w:hint="eastAsia" w:ascii="仿宋_GB2312" w:hAnsi="仿宋_GB2312" w:eastAsia="仿宋_GB2312" w:cs="仿宋_GB2312"/>
                <w:bCs/>
                <w:sz w:val="24"/>
              </w:rPr>
              <w:t>人民币大写：</w:t>
            </w:r>
            <w:r>
              <w:rPr>
                <w:rFonts w:hint="eastAsia" w:ascii="仿宋_GB2312" w:hAnsi="仿宋_GB2312" w:eastAsia="仿宋_GB2312" w:cs="仿宋_GB2312"/>
                <w:bCs/>
                <w:sz w:val="24"/>
                <w:u w:val="single"/>
                <w:lang w:val="en-US" w:eastAsia="zh-CN"/>
              </w:rPr>
              <w:t xml:space="preserve">       叁万玖仟伍佰元      </w:t>
            </w:r>
          </w:p>
        </w:tc>
      </w:tr>
      <w:tr w14:paraId="7756CF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87" w:hRule="atLeast"/>
        </w:trPr>
        <w:tc>
          <w:tcPr>
            <w:tcW w:w="2633" w:type="dxa"/>
            <w:vAlign w:val="center"/>
          </w:tcPr>
          <w:p w14:paraId="79394940">
            <w:pPr>
              <w:pageBreakBefore w:val="0"/>
              <w:kinsoku/>
              <w:wordWrap/>
              <w:overflowPunct/>
              <w:topLinePunct w:val="0"/>
              <w:bidi w:val="0"/>
              <w:spacing w:line="560" w:lineRule="exact"/>
              <w:jc w:val="center"/>
              <w:textAlignment w:val="auto"/>
              <w:rPr>
                <w:rFonts w:hint="eastAsia" w:ascii="仿宋_GB2312" w:hAnsi="仿宋_GB2312" w:eastAsia="仿宋_GB2312" w:cs="仿宋_GB2312"/>
                <w:b/>
                <w:sz w:val="24"/>
              </w:rPr>
            </w:pPr>
            <w:r>
              <w:rPr>
                <w:rFonts w:hint="eastAsia" w:ascii="仿宋_GB2312" w:hAnsi="仿宋_GB2312" w:eastAsia="仿宋_GB2312" w:cs="仿宋_GB2312"/>
                <w:b/>
                <w:sz w:val="24"/>
              </w:rPr>
              <w:t>备注说明</w:t>
            </w:r>
          </w:p>
        </w:tc>
        <w:tc>
          <w:tcPr>
            <w:tcW w:w="6492" w:type="dxa"/>
            <w:gridSpan w:val="4"/>
          </w:tcPr>
          <w:p w14:paraId="659D012D">
            <w:pPr>
              <w:pageBreakBefore w:val="0"/>
              <w:kinsoku/>
              <w:wordWrap/>
              <w:overflowPunct/>
              <w:topLinePunct w:val="0"/>
              <w:bidi w:val="0"/>
              <w:spacing w:line="560" w:lineRule="exact"/>
              <w:textAlignment w:val="auto"/>
              <w:rPr>
                <w:rFonts w:hint="eastAsia" w:ascii="仿宋_GB2312" w:hAnsi="仿宋_GB2312" w:eastAsia="仿宋_GB2312" w:cs="仿宋_GB2312"/>
                <w:b/>
                <w:sz w:val="24"/>
              </w:rPr>
            </w:pPr>
          </w:p>
        </w:tc>
      </w:tr>
    </w:tbl>
    <w:p w14:paraId="72116840">
      <w:pPr>
        <w:pageBreakBefore w:val="0"/>
        <w:kinsoku/>
        <w:wordWrap/>
        <w:overflowPunct/>
        <w:topLinePunct w:val="0"/>
        <w:bidi w:val="0"/>
        <w:snapToGrid w:val="0"/>
        <w:spacing w:line="560" w:lineRule="exact"/>
        <w:textAlignment w:val="auto"/>
        <w:rPr>
          <w:rFonts w:hint="eastAsia" w:ascii="仿宋_GB2312" w:hAnsi="仿宋_GB2312" w:eastAsia="仿宋_GB2312" w:cs="仿宋_GB2312"/>
          <w:b/>
          <w:sz w:val="24"/>
        </w:rPr>
      </w:pPr>
      <w:r>
        <w:rPr>
          <w:rFonts w:hint="eastAsia" w:ascii="仿宋_GB2312" w:hAnsi="仿宋_GB2312" w:eastAsia="仿宋_GB2312" w:cs="仿宋_GB2312"/>
          <w:b/>
          <w:sz w:val="24"/>
        </w:rPr>
        <w:t xml:space="preserve">供应商签章：                       </w:t>
      </w:r>
    </w:p>
    <w:p w14:paraId="618923E4">
      <w:pPr>
        <w:pageBreakBefore w:val="0"/>
        <w:kinsoku/>
        <w:wordWrap/>
        <w:overflowPunct/>
        <w:topLinePunct w:val="0"/>
        <w:bidi w:val="0"/>
        <w:snapToGrid w:val="0"/>
        <w:spacing w:line="560" w:lineRule="exact"/>
        <w:ind w:left="5550"/>
        <w:jc w:val="center"/>
        <w:textAlignment w:val="auto"/>
        <w:rPr>
          <w:rFonts w:hint="eastAsia" w:ascii="仿宋_GB2312" w:hAnsi="仿宋_GB2312" w:eastAsia="仿宋_GB2312" w:cs="仿宋_GB2312"/>
          <w:sz w:val="24"/>
        </w:rPr>
      </w:pPr>
      <w:r>
        <w:rPr>
          <w:rFonts w:hint="eastAsia" w:ascii="仿宋_GB2312" w:hAnsi="仿宋_GB2312" w:eastAsia="仿宋_GB2312" w:cs="仿宋_GB2312"/>
          <w:sz w:val="24"/>
        </w:rPr>
        <w:t>年   月   日</w:t>
      </w:r>
    </w:p>
    <w:p w14:paraId="06A60CC4">
      <w:pPr>
        <w:pageBreakBefore w:val="0"/>
        <w:kinsoku/>
        <w:wordWrap/>
        <w:overflowPunct/>
        <w:topLinePunct w:val="0"/>
        <w:bidi w:val="0"/>
        <w:adjustRightInd w:val="0"/>
        <w:snapToGrid w:val="0"/>
        <w:spacing w:line="560" w:lineRule="exact"/>
        <w:textAlignment w:val="auto"/>
        <w:rPr>
          <w:rFonts w:hint="eastAsia" w:ascii="仿宋_GB2312" w:hAnsi="仿宋_GB2312" w:eastAsia="仿宋_GB2312" w:cs="仿宋_GB2312"/>
          <w:b/>
          <w:bCs/>
          <w:sz w:val="24"/>
          <w:szCs w:val="28"/>
        </w:rPr>
      </w:pPr>
      <w:r>
        <w:rPr>
          <w:rFonts w:hint="eastAsia" w:ascii="仿宋_GB2312" w:hAnsi="仿宋_GB2312" w:eastAsia="仿宋_GB2312" w:cs="仿宋_GB2312"/>
          <w:b/>
          <w:bCs/>
          <w:sz w:val="24"/>
          <w:szCs w:val="28"/>
        </w:rPr>
        <w:t>注：</w:t>
      </w:r>
    </w:p>
    <w:p w14:paraId="7D6B7F53">
      <w:pPr>
        <w:pageBreakBefore w:val="0"/>
        <w:kinsoku/>
        <w:wordWrap/>
        <w:overflowPunct/>
        <w:topLinePunct w:val="0"/>
        <w:bidi w:val="0"/>
        <w:adjustRightInd w:val="0"/>
        <w:snapToGrid w:val="0"/>
        <w:spacing w:line="560" w:lineRule="exact"/>
        <w:ind w:firstLine="482" w:firstLineChars="200"/>
        <w:textAlignment w:val="auto"/>
        <w:rPr>
          <w:rFonts w:hint="eastAsia" w:ascii="仿宋_GB2312" w:hAnsi="仿宋_GB2312" w:eastAsia="仿宋_GB2312" w:cs="仿宋_GB2312"/>
          <w:sz w:val="24"/>
        </w:rPr>
      </w:pPr>
      <w:r>
        <w:rPr>
          <w:rFonts w:hint="eastAsia" w:ascii="仿宋_GB2312" w:hAnsi="仿宋_GB2312" w:eastAsia="仿宋_GB2312" w:cs="仿宋_GB2312"/>
          <w:b/>
          <w:bCs/>
          <w:sz w:val="24"/>
          <w:szCs w:val="28"/>
        </w:rPr>
        <w:t>1、本表内容根据采购文件要求包括了服务及其配套的设计、采购、制造、检测、试验、运输、保险、仓储、税费以及现场落地、安装及安装耗损、调试、验收、培训、技术服务（包括技术资料、图纸的提供）质保期内的售后服务保障等所有费用。</w:t>
      </w:r>
    </w:p>
    <w:p w14:paraId="073D0227">
      <w:pPr>
        <w:pageBreakBefore w:val="0"/>
        <w:kinsoku/>
        <w:wordWrap/>
        <w:overflowPunct/>
        <w:topLinePunct w:val="0"/>
        <w:bidi w:val="0"/>
        <w:adjustRightInd w:val="0"/>
        <w:snapToGrid w:val="0"/>
        <w:spacing w:line="560" w:lineRule="exact"/>
        <w:ind w:firstLine="482" w:firstLineChars="200"/>
        <w:textAlignment w:val="auto"/>
        <w:rPr>
          <w:rFonts w:hint="eastAsia" w:ascii="仿宋_GB2312" w:hAnsi="仿宋_GB2312" w:eastAsia="仿宋_GB2312" w:cs="仿宋_GB2312"/>
          <w:b/>
          <w:bCs/>
          <w:sz w:val="24"/>
          <w:szCs w:val="28"/>
        </w:rPr>
      </w:pPr>
      <w:r>
        <w:rPr>
          <w:rFonts w:hint="eastAsia" w:ascii="仿宋_GB2312" w:hAnsi="仿宋_GB2312" w:eastAsia="仿宋_GB2312" w:cs="仿宋_GB2312"/>
          <w:b/>
          <w:bCs/>
          <w:sz w:val="24"/>
          <w:szCs w:val="28"/>
        </w:rPr>
        <w:t>2、特殊事项在备注中注明。</w:t>
      </w:r>
    </w:p>
    <w:p w14:paraId="65DF705D">
      <w:pPr>
        <w:pageBreakBefore w:val="0"/>
        <w:kinsoku/>
        <w:wordWrap/>
        <w:overflowPunct/>
        <w:topLinePunct w:val="0"/>
        <w:bidi w:val="0"/>
        <w:adjustRightInd w:val="0"/>
        <w:snapToGrid w:val="0"/>
        <w:spacing w:line="560" w:lineRule="exact"/>
        <w:ind w:firstLine="482" w:firstLineChars="200"/>
        <w:textAlignment w:val="auto"/>
        <w:rPr>
          <w:rFonts w:hint="eastAsia" w:ascii="仿宋_GB2312" w:hAnsi="仿宋_GB2312" w:eastAsia="仿宋_GB2312" w:cs="仿宋_GB2312"/>
          <w:b/>
          <w:bCs/>
          <w:sz w:val="24"/>
          <w:szCs w:val="28"/>
        </w:rPr>
      </w:pPr>
      <w:r>
        <w:rPr>
          <w:rFonts w:hint="eastAsia" w:ascii="仿宋_GB2312" w:hAnsi="仿宋_GB2312" w:eastAsia="仿宋_GB2312" w:cs="仿宋_GB2312"/>
          <w:b/>
          <w:bCs/>
          <w:sz w:val="24"/>
          <w:szCs w:val="28"/>
        </w:rPr>
        <w:t>3、供应商应根据其响应文件中报价表的内容填写唱标信息，唱标信息不作为评审的依据。唱标信息与报价表不一致的，以报价表为准。</w:t>
      </w:r>
    </w:p>
    <w:p w14:paraId="4176E13E">
      <w:pPr>
        <w:pageBreakBefore w:val="0"/>
        <w:kinsoku/>
        <w:wordWrap/>
        <w:overflowPunct/>
        <w:topLinePunct w:val="0"/>
        <w:bidi w:val="0"/>
        <w:spacing w:line="560" w:lineRule="exact"/>
        <w:jc w:val="left"/>
        <w:textAlignment w:val="auto"/>
        <w:outlineLvl w:val="0"/>
        <w:rPr>
          <w:rFonts w:hint="eastAsia" w:ascii="仿宋_GB2312" w:hAnsi="仿宋_GB2312" w:eastAsia="仿宋_GB2312" w:cs="仿宋_GB2312"/>
          <w:b/>
          <w:sz w:val="28"/>
          <w:szCs w:val="28"/>
        </w:rPr>
      </w:pPr>
      <w:bookmarkStart w:id="0" w:name="_Toc461053086"/>
      <w:bookmarkStart w:id="1" w:name="_Toc519869826"/>
      <w:bookmarkStart w:id="2" w:name="_Toc461056631"/>
    </w:p>
    <w:p w14:paraId="595ED888">
      <w:pPr>
        <w:pageBreakBefore w:val="0"/>
        <w:kinsoku/>
        <w:wordWrap/>
        <w:overflowPunct/>
        <w:topLinePunct w:val="0"/>
        <w:bidi w:val="0"/>
        <w:spacing w:line="560" w:lineRule="exact"/>
        <w:jc w:val="left"/>
        <w:textAlignment w:val="auto"/>
        <w:outlineLvl w:val="0"/>
        <w:rPr>
          <w:rFonts w:hint="eastAsia" w:ascii="仿宋_GB2312" w:hAnsi="仿宋_GB2312" w:eastAsia="仿宋_GB2312" w:cs="仿宋_GB2312"/>
          <w:b/>
          <w:sz w:val="28"/>
          <w:szCs w:val="28"/>
        </w:rPr>
      </w:pPr>
    </w:p>
    <w:p w14:paraId="5D71A31F">
      <w:pPr>
        <w:pageBreakBefore w:val="0"/>
        <w:kinsoku/>
        <w:wordWrap/>
        <w:overflowPunct/>
        <w:topLinePunct w:val="0"/>
        <w:bidi w:val="0"/>
        <w:spacing w:line="560" w:lineRule="exact"/>
        <w:jc w:val="left"/>
        <w:textAlignment w:val="auto"/>
        <w:outlineLvl w:val="0"/>
        <w:rPr>
          <w:rFonts w:hint="eastAsia" w:ascii="仿宋_GB2312" w:hAnsi="仿宋_GB2312" w:eastAsia="仿宋_GB2312" w:cs="仿宋_GB2312"/>
          <w:b/>
          <w:sz w:val="28"/>
          <w:szCs w:val="28"/>
        </w:rPr>
      </w:pPr>
    </w:p>
    <w:p w14:paraId="7E55B88F">
      <w:pPr>
        <w:pageBreakBefore w:val="0"/>
        <w:kinsoku/>
        <w:wordWrap/>
        <w:overflowPunct/>
        <w:topLinePunct w:val="0"/>
        <w:bidi w:val="0"/>
        <w:spacing w:line="560" w:lineRule="exact"/>
        <w:jc w:val="left"/>
        <w:textAlignment w:val="auto"/>
        <w:outlineLvl w:val="0"/>
        <w:rPr>
          <w:rFonts w:hint="eastAsia" w:ascii="仿宋_GB2312" w:hAnsi="仿宋_GB2312" w:eastAsia="仿宋_GB2312" w:cs="仿宋_GB2312"/>
          <w:b/>
          <w:sz w:val="28"/>
          <w:szCs w:val="28"/>
        </w:rPr>
      </w:pPr>
    </w:p>
    <w:p w14:paraId="3C63E064">
      <w:pPr>
        <w:pageBreakBefore w:val="0"/>
        <w:kinsoku/>
        <w:wordWrap/>
        <w:overflowPunct/>
        <w:topLinePunct w:val="0"/>
        <w:bidi w:val="0"/>
        <w:spacing w:line="560" w:lineRule="exact"/>
        <w:jc w:val="left"/>
        <w:textAlignment w:val="auto"/>
        <w:outlineLvl w:val="0"/>
        <w:rPr>
          <w:rFonts w:hint="eastAsia" w:ascii="仿宋_GB2312" w:hAnsi="仿宋_GB2312" w:eastAsia="仿宋_GB2312" w:cs="仿宋_GB2312"/>
          <w:b/>
          <w:sz w:val="28"/>
          <w:szCs w:val="28"/>
        </w:rPr>
      </w:pPr>
    </w:p>
    <w:p w14:paraId="71104D9F">
      <w:pPr>
        <w:pageBreakBefore w:val="0"/>
        <w:kinsoku/>
        <w:wordWrap/>
        <w:overflowPunct/>
        <w:topLinePunct w:val="0"/>
        <w:bidi w:val="0"/>
        <w:spacing w:line="560" w:lineRule="exact"/>
        <w:jc w:val="left"/>
        <w:textAlignment w:val="auto"/>
        <w:outlineLvl w:val="0"/>
        <w:rPr>
          <w:rFonts w:hint="eastAsia" w:ascii="仿宋_GB2312" w:hAnsi="仿宋_GB2312" w:eastAsia="仿宋_GB2312" w:cs="仿宋_GB2312"/>
          <w:b/>
          <w:sz w:val="28"/>
          <w:szCs w:val="28"/>
        </w:rPr>
      </w:pPr>
    </w:p>
    <w:p w14:paraId="3503A645">
      <w:pPr>
        <w:pageBreakBefore w:val="0"/>
        <w:kinsoku/>
        <w:wordWrap/>
        <w:overflowPunct/>
        <w:topLinePunct w:val="0"/>
        <w:bidi w:val="0"/>
        <w:spacing w:line="560" w:lineRule="exact"/>
        <w:jc w:val="left"/>
        <w:textAlignment w:val="auto"/>
        <w:outlineLvl w:val="0"/>
        <w:rPr>
          <w:rFonts w:hint="eastAsia" w:ascii="仿宋_GB2312" w:hAnsi="仿宋_GB2312" w:eastAsia="仿宋_GB2312" w:cs="仿宋_GB2312"/>
          <w:b/>
          <w:sz w:val="28"/>
          <w:szCs w:val="28"/>
        </w:rPr>
      </w:pPr>
    </w:p>
    <w:p w14:paraId="46C3667E">
      <w:pPr>
        <w:pageBreakBefore w:val="0"/>
        <w:kinsoku/>
        <w:wordWrap/>
        <w:overflowPunct/>
        <w:topLinePunct w:val="0"/>
        <w:bidi w:val="0"/>
        <w:spacing w:line="560" w:lineRule="exact"/>
        <w:jc w:val="left"/>
        <w:textAlignment w:val="auto"/>
        <w:outlineLvl w:val="0"/>
        <w:rPr>
          <w:rFonts w:hint="eastAsia" w:ascii="仿宋_GB2312" w:hAnsi="仿宋_GB2312" w:eastAsia="仿宋_GB2312" w:cs="仿宋_GB2312"/>
          <w:b/>
          <w:sz w:val="28"/>
          <w:szCs w:val="28"/>
        </w:rPr>
      </w:pPr>
    </w:p>
    <w:p w14:paraId="207E5478">
      <w:pPr>
        <w:pageBreakBefore w:val="0"/>
        <w:kinsoku/>
        <w:wordWrap/>
        <w:overflowPunct/>
        <w:topLinePunct w:val="0"/>
        <w:bidi w:val="0"/>
        <w:spacing w:line="560" w:lineRule="exact"/>
        <w:jc w:val="left"/>
        <w:textAlignment w:val="auto"/>
        <w:outlineLvl w:val="0"/>
        <w:rPr>
          <w:rFonts w:hint="eastAsia" w:ascii="仿宋_GB2312" w:hAnsi="仿宋_GB2312" w:eastAsia="仿宋_GB2312" w:cs="仿宋_GB2312"/>
          <w:b/>
          <w:sz w:val="28"/>
          <w:szCs w:val="28"/>
        </w:rPr>
      </w:pPr>
    </w:p>
    <w:p w14:paraId="7D02A196">
      <w:pPr>
        <w:pageBreakBefore w:val="0"/>
        <w:kinsoku/>
        <w:wordWrap/>
        <w:overflowPunct/>
        <w:topLinePunct w:val="0"/>
        <w:bidi w:val="0"/>
        <w:spacing w:line="560" w:lineRule="exact"/>
        <w:jc w:val="left"/>
        <w:textAlignment w:val="auto"/>
        <w:outlineLvl w:val="0"/>
        <w:rPr>
          <w:rFonts w:hint="eastAsia" w:ascii="仿宋_GB2312" w:hAnsi="仿宋_GB2312" w:eastAsia="仿宋_GB2312" w:cs="仿宋_GB2312"/>
          <w:b/>
          <w:sz w:val="28"/>
          <w:szCs w:val="28"/>
        </w:rPr>
      </w:pPr>
    </w:p>
    <w:p w14:paraId="3DF65FB3">
      <w:pPr>
        <w:pageBreakBefore w:val="0"/>
        <w:kinsoku/>
        <w:wordWrap/>
        <w:overflowPunct/>
        <w:topLinePunct w:val="0"/>
        <w:bidi w:val="0"/>
        <w:spacing w:line="560" w:lineRule="exact"/>
        <w:jc w:val="left"/>
        <w:textAlignment w:val="auto"/>
        <w:outlineLvl w:val="0"/>
        <w:rPr>
          <w:rFonts w:hint="eastAsia" w:ascii="仿宋_GB2312" w:hAnsi="仿宋_GB2312" w:eastAsia="仿宋_GB2312" w:cs="仿宋_GB2312"/>
          <w:b/>
          <w:sz w:val="28"/>
          <w:szCs w:val="28"/>
        </w:rPr>
      </w:pPr>
    </w:p>
    <w:p w14:paraId="27131E2F">
      <w:pPr>
        <w:pageBreakBefore w:val="0"/>
        <w:kinsoku/>
        <w:wordWrap/>
        <w:overflowPunct/>
        <w:topLinePunct w:val="0"/>
        <w:bidi w:val="0"/>
        <w:spacing w:line="560" w:lineRule="exact"/>
        <w:jc w:val="left"/>
        <w:textAlignment w:val="auto"/>
        <w:outlineLvl w:val="0"/>
        <w:rPr>
          <w:rFonts w:hint="eastAsia" w:ascii="仿宋_GB2312" w:hAnsi="仿宋_GB2312" w:eastAsia="仿宋_GB2312" w:cs="仿宋_GB2312"/>
          <w:b/>
          <w:sz w:val="28"/>
          <w:szCs w:val="28"/>
        </w:rPr>
      </w:pPr>
    </w:p>
    <w:p w14:paraId="0FD10CA7">
      <w:pPr>
        <w:pageBreakBefore w:val="0"/>
        <w:kinsoku/>
        <w:wordWrap/>
        <w:overflowPunct/>
        <w:topLinePunct w:val="0"/>
        <w:bidi w:val="0"/>
        <w:spacing w:line="560" w:lineRule="exact"/>
        <w:jc w:val="left"/>
        <w:textAlignment w:val="auto"/>
        <w:outlineLvl w:val="0"/>
        <w:rPr>
          <w:rFonts w:hint="eastAsia" w:ascii="仿宋_GB2312" w:hAnsi="仿宋_GB2312" w:eastAsia="仿宋_GB2312" w:cs="仿宋_GB2312"/>
          <w:b/>
          <w:sz w:val="28"/>
          <w:szCs w:val="28"/>
        </w:rPr>
      </w:pPr>
    </w:p>
    <w:p w14:paraId="09DB0532">
      <w:pPr>
        <w:pageBreakBefore w:val="0"/>
        <w:kinsoku/>
        <w:wordWrap/>
        <w:overflowPunct/>
        <w:topLinePunct w:val="0"/>
        <w:bidi w:val="0"/>
        <w:spacing w:line="560" w:lineRule="exact"/>
        <w:jc w:val="left"/>
        <w:textAlignment w:val="auto"/>
        <w:outlineLvl w:val="0"/>
        <w:rPr>
          <w:rFonts w:hint="eastAsia" w:ascii="仿宋_GB2312" w:hAnsi="仿宋_GB2312" w:eastAsia="仿宋_GB2312" w:cs="仿宋_GB2312"/>
          <w:b/>
          <w:sz w:val="28"/>
          <w:szCs w:val="28"/>
        </w:rPr>
      </w:pPr>
    </w:p>
    <w:p w14:paraId="1D7F9795">
      <w:pPr>
        <w:pageBreakBefore w:val="0"/>
        <w:kinsoku/>
        <w:wordWrap/>
        <w:overflowPunct/>
        <w:topLinePunct w:val="0"/>
        <w:bidi w:val="0"/>
        <w:spacing w:line="560" w:lineRule="exact"/>
        <w:jc w:val="left"/>
        <w:textAlignment w:val="auto"/>
        <w:outlineLvl w:val="0"/>
        <w:rPr>
          <w:rFonts w:hint="eastAsia" w:ascii="仿宋_GB2312" w:hAnsi="仿宋_GB2312" w:eastAsia="仿宋_GB2312" w:cs="仿宋_GB2312"/>
          <w:b/>
          <w:sz w:val="28"/>
          <w:szCs w:val="28"/>
        </w:rPr>
      </w:pPr>
    </w:p>
    <w:p w14:paraId="42513E09">
      <w:pPr>
        <w:pageBreakBefore w:val="0"/>
        <w:kinsoku/>
        <w:wordWrap/>
        <w:overflowPunct/>
        <w:topLinePunct w:val="0"/>
        <w:bidi w:val="0"/>
        <w:spacing w:line="560" w:lineRule="exact"/>
        <w:jc w:val="left"/>
        <w:textAlignment w:val="auto"/>
        <w:outlineLvl w:val="0"/>
        <w:rPr>
          <w:rFonts w:hint="eastAsia" w:ascii="仿宋_GB2312" w:hAnsi="仿宋_GB2312" w:eastAsia="仿宋_GB2312" w:cs="仿宋_GB2312"/>
          <w:b/>
          <w:sz w:val="28"/>
          <w:szCs w:val="28"/>
        </w:rPr>
      </w:pPr>
    </w:p>
    <w:p w14:paraId="2FE6ADA0">
      <w:pPr>
        <w:pageBreakBefore w:val="0"/>
        <w:kinsoku/>
        <w:wordWrap/>
        <w:overflowPunct/>
        <w:topLinePunct w:val="0"/>
        <w:bidi w:val="0"/>
        <w:spacing w:line="560" w:lineRule="exact"/>
        <w:jc w:val="left"/>
        <w:textAlignment w:val="auto"/>
        <w:outlineLvl w:val="0"/>
        <w:rPr>
          <w:rFonts w:hint="eastAsia" w:ascii="仿宋_GB2312" w:hAnsi="仿宋_GB2312" w:eastAsia="仿宋_GB2312" w:cs="仿宋_GB2312"/>
          <w:b/>
          <w:sz w:val="28"/>
          <w:szCs w:val="28"/>
        </w:rPr>
      </w:pPr>
    </w:p>
    <w:p w14:paraId="79F960FF">
      <w:pPr>
        <w:pageBreakBefore w:val="0"/>
        <w:kinsoku/>
        <w:wordWrap/>
        <w:overflowPunct/>
        <w:topLinePunct w:val="0"/>
        <w:bidi w:val="0"/>
        <w:spacing w:line="560" w:lineRule="exact"/>
        <w:jc w:val="left"/>
        <w:textAlignment w:val="auto"/>
        <w:outlineLvl w:val="0"/>
        <w:rPr>
          <w:rFonts w:hint="eastAsia" w:ascii="仿宋_GB2312" w:hAnsi="仿宋_GB2312" w:eastAsia="仿宋_GB2312" w:cs="仿宋_GB2312"/>
          <w:b/>
          <w:sz w:val="28"/>
          <w:szCs w:val="28"/>
        </w:rPr>
      </w:pPr>
    </w:p>
    <w:p w14:paraId="25E577A9">
      <w:pPr>
        <w:pageBreakBefore w:val="0"/>
        <w:kinsoku/>
        <w:wordWrap/>
        <w:overflowPunct/>
        <w:topLinePunct w:val="0"/>
        <w:bidi w:val="0"/>
        <w:spacing w:line="560" w:lineRule="exact"/>
        <w:jc w:val="left"/>
        <w:textAlignment w:val="auto"/>
        <w:outlineLvl w:val="0"/>
        <w:rPr>
          <w:rFonts w:hint="eastAsia" w:ascii="仿宋_GB2312" w:hAnsi="仿宋_GB2312" w:eastAsia="仿宋_GB2312" w:cs="仿宋_GB2312"/>
          <w:b/>
          <w:sz w:val="28"/>
          <w:szCs w:val="28"/>
        </w:rPr>
      </w:pPr>
    </w:p>
    <w:p w14:paraId="70A902B7">
      <w:pPr>
        <w:pageBreakBefore w:val="0"/>
        <w:kinsoku/>
        <w:wordWrap/>
        <w:overflowPunct/>
        <w:topLinePunct w:val="0"/>
        <w:bidi w:val="0"/>
        <w:spacing w:line="560" w:lineRule="exact"/>
        <w:jc w:val="left"/>
        <w:textAlignment w:val="auto"/>
        <w:outlineLvl w:val="0"/>
        <w:rPr>
          <w:rFonts w:hint="eastAsia" w:ascii="仿宋_GB2312" w:hAnsi="仿宋_GB2312" w:eastAsia="仿宋_GB2312" w:cs="仿宋_GB2312"/>
          <w:b/>
          <w:sz w:val="28"/>
          <w:szCs w:val="28"/>
        </w:rPr>
      </w:pPr>
    </w:p>
    <w:p w14:paraId="1389ABE5">
      <w:pPr>
        <w:pageBreakBefore w:val="0"/>
        <w:kinsoku/>
        <w:wordWrap/>
        <w:overflowPunct/>
        <w:topLinePunct w:val="0"/>
        <w:bidi w:val="0"/>
        <w:spacing w:line="560" w:lineRule="exact"/>
        <w:jc w:val="left"/>
        <w:textAlignment w:val="auto"/>
        <w:outlineLvl w:val="0"/>
        <w:rPr>
          <w:rFonts w:hint="eastAsia" w:ascii="仿宋_GB2312" w:hAnsi="仿宋_GB2312" w:eastAsia="仿宋_GB2312" w:cs="仿宋_GB2312"/>
          <w:b/>
          <w:sz w:val="28"/>
          <w:szCs w:val="28"/>
        </w:rPr>
      </w:pPr>
    </w:p>
    <w:p w14:paraId="3CC7E116">
      <w:pPr>
        <w:pageBreakBefore w:val="0"/>
        <w:kinsoku/>
        <w:wordWrap/>
        <w:overflowPunct/>
        <w:topLinePunct w:val="0"/>
        <w:bidi w:val="0"/>
        <w:spacing w:line="560" w:lineRule="exact"/>
        <w:jc w:val="left"/>
        <w:textAlignment w:val="auto"/>
        <w:outlineLvl w:val="0"/>
        <w:rPr>
          <w:rFonts w:hint="eastAsia" w:ascii="仿宋_GB2312" w:hAnsi="仿宋_GB2312" w:eastAsia="仿宋_GB2312" w:cs="仿宋_GB2312"/>
          <w:b/>
          <w:sz w:val="28"/>
          <w:szCs w:val="28"/>
        </w:rPr>
      </w:pPr>
    </w:p>
    <w:p w14:paraId="58A2F3B1">
      <w:pPr>
        <w:pageBreakBefore w:val="0"/>
        <w:kinsoku/>
        <w:wordWrap/>
        <w:overflowPunct/>
        <w:topLinePunct w:val="0"/>
        <w:bidi w:val="0"/>
        <w:spacing w:line="560" w:lineRule="exact"/>
        <w:jc w:val="left"/>
        <w:textAlignment w:val="auto"/>
        <w:outlineLvl w:val="0"/>
        <w:rPr>
          <w:rFonts w:hint="eastAsia" w:ascii="仿宋_GB2312" w:hAnsi="仿宋_GB2312" w:eastAsia="仿宋_GB2312" w:cs="仿宋_GB2312"/>
          <w:b/>
          <w:sz w:val="28"/>
          <w:szCs w:val="28"/>
        </w:rPr>
      </w:pPr>
      <w:r>
        <w:rPr>
          <w:rFonts w:hint="eastAsia" w:ascii="仿宋_GB2312" w:hAnsi="仿宋_GB2312" w:eastAsia="仿宋_GB2312" w:cs="仿宋_GB2312"/>
          <w:b/>
          <w:sz w:val="28"/>
          <w:szCs w:val="28"/>
        </w:rPr>
        <w:t>附件</w:t>
      </w:r>
      <w:bookmarkEnd w:id="0"/>
      <w:bookmarkEnd w:id="1"/>
      <w:bookmarkEnd w:id="2"/>
      <w:r>
        <w:rPr>
          <w:rFonts w:hint="eastAsia" w:ascii="仿宋_GB2312" w:hAnsi="仿宋_GB2312" w:eastAsia="仿宋_GB2312" w:cs="仿宋_GB2312"/>
          <w:b/>
          <w:sz w:val="28"/>
          <w:szCs w:val="28"/>
        </w:rPr>
        <w:t>3：</w:t>
      </w:r>
    </w:p>
    <w:p w14:paraId="2C2CE831">
      <w:pPr>
        <w:pageBreakBefore w:val="0"/>
        <w:kinsoku/>
        <w:wordWrap/>
        <w:overflowPunct/>
        <w:topLinePunct w:val="0"/>
        <w:bidi w:val="0"/>
        <w:spacing w:line="560" w:lineRule="exact"/>
        <w:jc w:val="center"/>
        <w:textAlignment w:val="auto"/>
        <w:outlineLvl w:val="0"/>
        <w:rPr>
          <w:rFonts w:hint="eastAsia" w:ascii="仿宋_GB2312" w:hAnsi="仿宋_GB2312" w:eastAsia="仿宋_GB2312" w:cs="仿宋_GB2312"/>
          <w:b/>
          <w:sz w:val="28"/>
          <w:szCs w:val="28"/>
        </w:rPr>
      </w:pPr>
      <w:r>
        <w:rPr>
          <w:rFonts w:hint="eastAsia" w:ascii="仿宋_GB2312" w:hAnsi="仿宋_GB2312" w:eastAsia="仿宋_GB2312" w:cs="仿宋_GB2312"/>
          <w:b/>
          <w:sz w:val="28"/>
          <w:szCs w:val="28"/>
        </w:rPr>
        <w:t>供应商综合情况简介</w:t>
      </w:r>
    </w:p>
    <w:p w14:paraId="40CD9382">
      <w:pPr>
        <w:pageBreakBefore w:val="0"/>
        <w:kinsoku/>
        <w:wordWrap/>
        <w:overflowPunct/>
        <w:topLinePunct w:val="0"/>
        <w:bidi w:val="0"/>
        <w:spacing w:line="560" w:lineRule="exact"/>
        <w:jc w:val="center"/>
        <w:textAlignment w:val="auto"/>
        <w:rPr>
          <w:rFonts w:hint="eastAsia" w:ascii="仿宋_GB2312" w:hAnsi="仿宋_GB2312" w:eastAsia="仿宋_GB2312" w:cs="仿宋_GB2312"/>
          <w:sz w:val="24"/>
        </w:rPr>
      </w:pPr>
      <w:r>
        <w:rPr>
          <w:rFonts w:hint="eastAsia" w:ascii="仿宋_GB2312" w:hAnsi="仿宋_GB2312" w:eastAsia="仿宋_GB2312" w:cs="仿宋_GB2312"/>
          <w:sz w:val="24"/>
        </w:rPr>
        <w:t>(供应商可自行制作格式)</w:t>
      </w:r>
    </w:p>
    <w:p w14:paraId="0577AD74">
      <w:pPr>
        <w:pageBreakBefore w:val="0"/>
        <w:kinsoku/>
        <w:wordWrap/>
        <w:overflowPunct/>
        <w:topLinePunct w:val="0"/>
        <w:bidi w:val="0"/>
        <w:spacing w:line="560" w:lineRule="exact"/>
        <w:jc w:val="center"/>
        <w:textAlignment w:val="auto"/>
        <w:rPr>
          <w:rFonts w:hint="eastAsia" w:ascii="仿宋_GB2312" w:hAnsi="仿宋_GB2312" w:eastAsia="仿宋_GB2312" w:cs="仿宋_GB2312"/>
          <w:sz w:val="24"/>
        </w:rPr>
      </w:pPr>
    </w:p>
    <w:p w14:paraId="2307A440">
      <w:pPr>
        <w:pageBreakBefore w:val="0"/>
        <w:kinsoku/>
        <w:wordWrap/>
        <w:overflowPunct/>
        <w:topLinePunct w:val="0"/>
        <w:bidi w:val="0"/>
        <w:spacing w:line="560" w:lineRule="exact"/>
        <w:jc w:val="center"/>
        <w:textAlignment w:val="auto"/>
        <w:rPr>
          <w:rFonts w:hint="eastAsia" w:ascii="仿宋_GB2312" w:hAnsi="仿宋_GB2312" w:eastAsia="仿宋_GB2312" w:cs="仿宋_GB2312"/>
          <w:sz w:val="24"/>
        </w:rPr>
      </w:pPr>
    </w:p>
    <w:p w14:paraId="3077E7E3">
      <w:pPr>
        <w:pageBreakBefore w:val="0"/>
        <w:kinsoku/>
        <w:wordWrap/>
        <w:overflowPunct/>
        <w:topLinePunct w:val="0"/>
        <w:bidi w:val="0"/>
        <w:spacing w:line="560" w:lineRule="exact"/>
        <w:jc w:val="center"/>
        <w:textAlignment w:val="auto"/>
        <w:rPr>
          <w:rFonts w:hint="eastAsia" w:ascii="仿宋_GB2312" w:hAnsi="仿宋_GB2312" w:eastAsia="仿宋_GB2312" w:cs="仿宋_GB2312"/>
          <w:sz w:val="24"/>
        </w:rPr>
      </w:pPr>
    </w:p>
    <w:p w14:paraId="0F15BD06">
      <w:pPr>
        <w:pageBreakBefore w:val="0"/>
        <w:kinsoku/>
        <w:wordWrap/>
        <w:overflowPunct/>
        <w:topLinePunct w:val="0"/>
        <w:bidi w:val="0"/>
        <w:spacing w:line="560" w:lineRule="exact"/>
        <w:jc w:val="center"/>
        <w:textAlignment w:val="auto"/>
        <w:rPr>
          <w:rFonts w:hint="eastAsia" w:ascii="仿宋_GB2312" w:hAnsi="仿宋_GB2312" w:eastAsia="仿宋_GB2312" w:cs="仿宋_GB2312"/>
          <w:sz w:val="24"/>
        </w:rPr>
      </w:pPr>
    </w:p>
    <w:p w14:paraId="517967D5">
      <w:pPr>
        <w:pageBreakBefore w:val="0"/>
        <w:kinsoku/>
        <w:wordWrap/>
        <w:overflowPunct/>
        <w:topLinePunct w:val="0"/>
        <w:bidi w:val="0"/>
        <w:spacing w:line="560" w:lineRule="exact"/>
        <w:jc w:val="center"/>
        <w:textAlignment w:val="auto"/>
        <w:rPr>
          <w:rFonts w:hint="eastAsia" w:ascii="仿宋_GB2312" w:hAnsi="仿宋_GB2312" w:eastAsia="仿宋_GB2312" w:cs="仿宋_GB2312"/>
          <w:sz w:val="24"/>
        </w:rPr>
      </w:pPr>
    </w:p>
    <w:p w14:paraId="12144CA9">
      <w:pPr>
        <w:pageBreakBefore w:val="0"/>
        <w:kinsoku/>
        <w:wordWrap/>
        <w:overflowPunct/>
        <w:topLinePunct w:val="0"/>
        <w:bidi w:val="0"/>
        <w:spacing w:line="560" w:lineRule="exact"/>
        <w:jc w:val="center"/>
        <w:textAlignment w:val="auto"/>
        <w:rPr>
          <w:rFonts w:hint="eastAsia" w:ascii="仿宋_GB2312" w:hAnsi="仿宋_GB2312" w:eastAsia="仿宋_GB2312" w:cs="仿宋_GB2312"/>
          <w:sz w:val="24"/>
        </w:rPr>
      </w:pPr>
    </w:p>
    <w:p w14:paraId="0B26E74D">
      <w:pPr>
        <w:pageBreakBefore w:val="0"/>
        <w:kinsoku/>
        <w:wordWrap/>
        <w:overflowPunct/>
        <w:topLinePunct w:val="0"/>
        <w:bidi w:val="0"/>
        <w:spacing w:line="560" w:lineRule="exact"/>
        <w:jc w:val="center"/>
        <w:textAlignment w:val="auto"/>
        <w:rPr>
          <w:rFonts w:hint="eastAsia" w:ascii="仿宋_GB2312" w:hAnsi="仿宋_GB2312" w:eastAsia="仿宋_GB2312" w:cs="仿宋_GB2312"/>
          <w:sz w:val="24"/>
        </w:rPr>
      </w:pPr>
    </w:p>
    <w:p w14:paraId="22E3772A">
      <w:pPr>
        <w:pageBreakBefore w:val="0"/>
        <w:kinsoku/>
        <w:wordWrap/>
        <w:overflowPunct/>
        <w:topLinePunct w:val="0"/>
        <w:bidi w:val="0"/>
        <w:spacing w:line="560" w:lineRule="exact"/>
        <w:jc w:val="center"/>
        <w:textAlignment w:val="auto"/>
        <w:rPr>
          <w:rFonts w:hint="eastAsia" w:ascii="仿宋_GB2312" w:hAnsi="仿宋_GB2312" w:eastAsia="仿宋_GB2312" w:cs="仿宋_GB2312"/>
          <w:sz w:val="24"/>
        </w:rPr>
      </w:pPr>
    </w:p>
    <w:p w14:paraId="1BEB21DB">
      <w:pPr>
        <w:pageBreakBefore w:val="0"/>
        <w:kinsoku/>
        <w:wordWrap/>
        <w:overflowPunct/>
        <w:topLinePunct w:val="0"/>
        <w:bidi w:val="0"/>
        <w:spacing w:line="560" w:lineRule="exact"/>
        <w:jc w:val="center"/>
        <w:textAlignment w:val="auto"/>
        <w:rPr>
          <w:rFonts w:hint="eastAsia" w:ascii="仿宋_GB2312" w:hAnsi="仿宋_GB2312" w:eastAsia="仿宋_GB2312" w:cs="仿宋_GB2312"/>
          <w:sz w:val="24"/>
        </w:rPr>
      </w:pPr>
    </w:p>
    <w:p w14:paraId="0550354D">
      <w:pPr>
        <w:pageBreakBefore w:val="0"/>
        <w:kinsoku/>
        <w:wordWrap/>
        <w:overflowPunct/>
        <w:topLinePunct w:val="0"/>
        <w:bidi w:val="0"/>
        <w:spacing w:line="560" w:lineRule="exact"/>
        <w:jc w:val="center"/>
        <w:textAlignment w:val="auto"/>
        <w:rPr>
          <w:rFonts w:hint="eastAsia" w:ascii="仿宋_GB2312" w:hAnsi="仿宋_GB2312" w:eastAsia="仿宋_GB2312" w:cs="仿宋_GB2312"/>
          <w:sz w:val="24"/>
        </w:rPr>
      </w:pPr>
    </w:p>
    <w:p w14:paraId="3AB9FD14">
      <w:pPr>
        <w:pageBreakBefore w:val="0"/>
        <w:kinsoku/>
        <w:wordWrap/>
        <w:overflowPunct/>
        <w:topLinePunct w:val="0"/>
        <w:bidi w:val="0"/>
        <w:spacing w:line="560" w:lineRule="exact"/>
        <w:jc w:val="center"/>
        <w:textAlignment w:val="auto"/>
        <w:rPr>
          <w:rFonts w:hint="eastAsia" w:ascii="仿宋_GB2312" w:hAnsi="仿宋_GB2312" w:eastAsia="仿宋_GB2312" w:cs="仿宋_GB2312"/>
          <w:sz w:val="24"/>
        </w:rPr>
      </w:pPr>
    </w:p>
    <w:p w14:paraId="24B6D5C3">
      <w:pPr>
        <w:pageBreakBefore w:val="0"/>
        <w:kinsoku/>
        <w:wordWrap/>
        <w:overflowPunct/>
        <w:topLinePunct w:val="0"/>
        <w:bidi w:val="0"/>
        <w:spacing w:line="560" w:lineRule="exact"/>
        <w:jc w:val="center"/>
        <w:textAlignment w:val="auto"/>
        <w:rPr>
          <w:rFonts w:hint="eastAsia" w:ascii="仿宋_GB2312" w:hAnsi="仿宋_GB2312" w:eastAsia="仿宋_GB2312" w:cs="仿宋_GB2312"/>
          <w:sz w:val="24"/>
        </w:rPr>
      </w:pPr>
    </w:p>
    <w:p w14:paraId="53B4AA67">
      <w:pPr>
        <w:pageBreakBefore w:val="0"/>
        <w:kinsoku/>
        <w:wordWrap/>
        <w:overflowPunct/>
        <w:topLinePunct w:val="0"/>
        <w:bidi w:val="0"/>
        <w:spacing w:line="560" w:lineRule="exact"/>
        <w:jc w:val="center"/>
        <w:textAlignment w:val="auto"/>
        <w:rPr>
          <w:rFonts w:hint="eastAsia" w:ascii="仿宋_GB2312" w:hAnsi="仿宋_GB2312" w:eastAsia="仿宋_GB2312" w:cs="仿宋_GB2312"/>
          <w:sz w:val="24"/>
        </w:rPr>
      </w:pPr>
    </w:p>
    <w:p w14:paraId="105E3642">
      <w:pPr>
        <w:pageBreakBefore w:val="0"/>
        <w:kinsoku/>
        <w:wordWrap/>
        <w:overflowPunct/>
        <w:topLinePunct w:val="0"/>
        <w:bidi w:val="0"/>
        <w:spacing w:line="560" w:lineRule="exact"/>
        <w:jc w:val="center"/>
        <w:textAlignment w:val="auto"/>
        <w:rPr>
          <w:rFonts w:hint="eastAsia" w:ascii="仿宋_GB2312" w:hAnsi="仿宋_GB2312" w:eastAsia="仿宋_GB2312" w:cs="仿宋_GB2312"/>
          <w:sz w:val="24"/>
        </w:rPr>
      </w:pPr>
    </w:p>
    <w:p w14:paraId="42447A42">
      <w:pPr>
        <w:pageBreakBefore w:val="0"/>
        <w:kinsoku/>
        <w:wordWrap/>
        <w:overflowPunct/>
        <w:topLinePunct w:val="0"/>
        <w:bidi w:val="0"/>
        <w:spacing w:line="560" w:lineRule="exact"/>
        <w:jc w:val="center"/>
        <w:textAlignment w:val="auto"/>
        <w:rPr>
          <w:rFonts w:hint="eastAsia" w:ascii="仿宋_GB2312" w:hAnsi="仿宋_GB2312" w:eastAsia="仿宋_GB2312" w:cs="仿宋_GB2312"/>
          <w:sz w:val="24"/>
        </w:rPr>
      </w:pPr>
    </w:p>
    <w:p w14:paraId="52598CB9">
      <w:pPr>
        <w:pageBreakBefore w:val="0"/>
        <w:kinsoku/>
        <w:wordWrap/>
        <w:overflowPunct/>
        <w:topLinePunct w:val="0"/>
        <w:bidi w:val="0"/>
        <w:spacing w:line="560" w:lineRule="exact"/>
        <w:jc w:val="center"/>
        <w:textAlignment w:val="auto"/>
        <w:rPr>
          <w:rFonts w:hint="eastAsia" w:ascii="仿宋_GB2312" w:hAnsi="仿宋_GB2312" w:eastAsia="仿宋_GB2312" w:cs="仿宋_GB2312"/>
          <w:sz w:val="24"/>
        </w:rPr>
      </w:pPr>
    </w:p>
    <w:p w14:paraId="0221106B">
      <w:pPr>
        <w:pageBreakBefore w:val="0"/>
        <w:kinsoku/>
        <w:wordWrap/>
        <w:overflowPunct/>
        <w:topLinePunct w:val="0"/>
        <w:bidi w:val="0"/>
        <w:spacing w:line="560" w:lineRule="exact"/>
        <w:jc w:val="center"/>
        <w:textAlignment w:val="auto"/>
        <w:rPr>
          <w:rFonts w:hint="eastAsia" w:ascii="仿宋_GB2312" w:hAnsi="仿宋_GB2312" w:eastAsia="仿宋_GB2312" w:cs="仿宋_GB2312"/>
          <w:sz w:val="24"/>
        </w:rPr>
      </w:pPr>
    </w:p>
    <w:p w14:paraId="35B28D20">
      <w:pPr>
        <w:pageBreakBefore w:val="0"/>
        <w:kinsoku/>
        <w:wordWrap/>
        <w:overflowPunct/>
        <w:topLinePunct w:val="0"/>
        <w:bidi w:val="0"/>
        <w:spacing w:line="560" w:lineRule="exact"/>
        <w:jc w:val="center"/>
        <w:textAlignment w:val="auto"/>
        <w:rPr>
          <w:rFonts w:hint="eastAsia" w:ascii="仿宋_GB2312" w:hAnsi="仿宋_GB2312" w:eastAsia="仿宋_GB2312" w:cs="仿宋_GB2312"/>
          <w:sz w:val="24"/>
        </w:rPr>
      </w:pPr>
    </w:p>
    <w:p w14:paraId="4C03DCC5">
      <w:pPr>
        <w:pageBreakBefore w:val="0"/>
        <w:kinsoku/>
        <w:wordWrap/>
        <w:overflowPunct/>
        <w:topLinePunct w:val="0"/>
        <w:bidi w:val="0"/>
        <w:spacing w:line="560" w:lineRule="exact"/>
        <w:jc w:val="both"/>
        <w:textAlignment w:val="auto"/>
        <w:rPr>
          <w:rFonts w:hint="eastAsia" w:ascii="仿宋_GB2312" w:hAnsi="仿宋_GB2312" w:eastAsia="仿宋_GB2312" w:cs="仿宋_GB2312"/>
          <w:sz w:val="24"/>
        </w:rPr>
      </w:pPr>
    </w:p>
    <w:p w14:paraId="04089859">
      <w:pPr>
        <w:pageBreakBefore w:val="0"/>
        <w:kinsoku/>
        <w:wordWrap/>
        <w:overflowPunct/>
        <w:topLinePunct w:val="0"/>
        <w:bidi w:val="0"/>
        <w:spacing w:line="560" w:lineRule="exact"/>
        <w:jc w:val="left"/>
        <w:textAlignment w:val="auto"/>
        <w:outlineLvl w:val="0"/>
        <w:rPr>
          <w:rFonts w:hint="eastAsia" w:ascii="仿宋_GB2312" w:hAnsi="仿宋_GB2312" w:eastAsia="仿宋_GB2312" w:cs="仿宋_GB2312"/>
          <w:b/>
          <w:sz w:val="28"/>
          <w:szCs w:val="28"/>
        </w:rPr>
      </w:pPr>
      <w:bookmarkStart w:id="3" w:name="_Toc519869833"/>
      <w:bookmarkStart w:id="4" w:name="_Toc461056638"/>
      <w:bookmarkStart w:id="5" w:name="_Toc461053096"/>
      <w:r>
        <w:rPr>
          <w:rFonts w:hint="eastAsia" w:ascii="仿宋_GB2312" w:hAnsi="仿宋_GB2312" w:eastAsia="仿宋_GB2312" w:cs="仿宋_GB2312"/>
          <w:b/>
          <w:sz w:val="28"/>
          <w:szCs w:val="28"/>
        </w:rPr>
        <w:t>附件</w:t>
      </w:r>
      <w:bookmarkEnd w:id="3"/>
      <w:bookmarkEnd w:id="4"/>
      <w:bookmarkEnd w:id="5"/>
      <w:r>
        <w:rPr>
          <w:rFonts w:hint="eastAsia" w:ascii="仿宋_GB2312" w:hAnsi="仿宋_GB2312" w:eastAsia="仿宋_GB2312" w:cs="仿宋_GB2312"/>
          <w:b/>
          <w:sz w:val="28"/>
          <w:szCs w:val="28"/>
        </w:rPr>
        <w:t>4：</w:t>
      </w:r>
    </w:p>
    <w:p w14:paraId="1FEBE6CB">
      <w:pPr>
        <w:pageBreakBefore w:val="0"/>
        <w:kinsoku/>
        <w:wordWrap/>
        <w:overflowPunct/>
        <w:topLinePunct w:val="0"/>
        <w:bidi w:val="0"/>
        <w:spacing w:line="560" w:lineRule="exact"/>
        <w:jc w:val="center"/>
        <w:textAlignment w:val="auto"/>
        <w:outlineLvl w:val="0"/>
        <w:rPr>
          <w:rFonts w:hint="eastAsia" w:ascii="仿宋_GB2312" w:hAnsi="仿宋_GB2312" w:eastAsia="仿宋_GB2312" w:cs="仿宋_GB2312"/>
          <w:b/>
          <w:sz w:val="28"/>
          <w:szCs w:val="28"/>
        </w:rPr>
      </w:pPr>
      <w:bookmarkStart w:id="6" w:name="_Toc516969106"/>
      <w:bookmarkStart w:id="7" w:name="_Toc121626298"/>
      <w:bookmarkStart w:id="8" w:name="_Toc204594911"/>
      <w:r>
        <w:rPr>
          <w:rFonts w:hint="eastAsia" w:ascii="仿宋_GB2312" w:hAnsi="仿宋_GB2312" w:eastAsia="仿宋_GB2312" w:cs="仿宋_GB2312"/>
          <w:b/>
          <w:sz w:val="28"/>
          <w:szCs w:val="28"/>
        </w:rPr>
        <w:t>询价授权书</w:t>
      </w:r>
      <w:bookmarkEnd w:id="6"/>
      <w:bookmarkEnd w:id="7"/>
      <w:bookmarkEnd w:id="8"/>
    </w:p>
    <w:p w14:paraId="6E52F7E9">
      <w:pPr>
        <w:pStyle w:val="9"/>
        <w:pageBreakBefore w:val="0"/>
        <w:kinsoku/>
        <w:wordWrap/>
        <w:overflowPunct/>
        <w:topLinePunct w:val="0"/>
        <w:bidi w:val="0"/>
        <w:snapToGrid w:val="0"/>
        <w:spacing w:line="560" w:lineRule="exact"/>
        <w:ind w:firstLine="480" w:firstLineChars="200"/>
        <w:jc w:val="left"/>
        <w:textAlignment w:val="auto"/>
        <w:rPr>
          <w:rFonts w:hint="eastAsia" w:ascii="仿宋_GB2312" w:hAnsi="仿宋_GB2312" w:eastAsia="仿宋_GB2312" w:cs="仿宋_GB2312"/>
          <w:sz w:val="24"/>
          <w:szCs w:val="28"/>
        </w:rPr>
      </w:pPr>
    </w:p>
    <w:p w14:paraId="2E7AE178">
      <w:pPr>
        <w:pStyle w:val="9"/>
        <w:pageBreakBefore w:val="0"/>
        <w:kinsoku/>
        <w:wordWrap/>
        <w:overflowPunct/>
        <w:topLinePunct w:val="0"/>
        <w:bidi w:val="0"/>
        <w:snapToGrid w:val="0"/>
        <w:spacing w:line="560" w:lineRule="exact"/>
        <w:ind w:firstLine="480" w:firstLineChars="200"/>
        <w:jc w:val="left"/>
        <w:textAlignment w:val="auto"/>
        <w:rPr>
          <w:rFonts w:hint="eastAsia" w:ascii="仿宋_GB2312" w:hAnsi="仿宋_GB2312" w:eastAsia="仿宋_GB2312" w:cs="仿宋_GB2312"/>
          <w:sz w:val="24"/>
          <w:szCs w:val="28"/>
        </w:rPr>
      </w:pPr>
      <w:r>
        <w:rPr>
          <w:rFonts w:hint="eastAsia" w:ascii="仿宋_GB2312" w:hAnsi="仿宋_GB2312" w:eastAsia="仿宋_GB2312" w:cs="仿宋_GB2312"/>
          <w:sz w:val="24"/>
          <w:szCs w:val="28"/>
        </w:rPr>
        <w:t>本授权书声明：</w:t>
      </w:r>
      <w:r>
        <w:rPr>
          <w:rFonts w:hint="eastAsia" w:ascii="仿宋_GB2312" w:hAnsi="仿宋_GB2312" w:eastAsia="仿宋_GB2312" w:cs="仿宋_GB2312"/>
          <w:sz w:val="24"/>
          <w:szCs w:val="28"/>
          <w:u w:val="single"/>
        </w:rPr>
        <w:t xml:space="preserve">           </w:t>
      </w:r>
      <w:r>
        <w:rPr>
          <w:rFonts w:hint="eastAsia" w:ascii="仿宋_GB2312" w:hAnsi="仿宋_GB2312" w:eastAsia="仿宋_GB2312" w:cs="仿宋_GB2312"/>
          <w:sz w:val="24"/>
          <w:szCs w:val="28"/>
        </w:rPr>
        <w:t>公司（工厂）授权本公司（工厂）</w:t>
      </w:r>
      <w:r>
        <w:rPr>
          <w:rFonts w:hint="eastAsia" w:ascii="仿宋_GB2312" w:hAnsi="仿宋_GB2312" w:eastAsia="仿宋_GB2312" w:cs="仿宋_GB2312"/>
          <w:sz w:val="24"/>
          <w:szCs w:val="28"/>
          <w:u w:val="single"/>
        </w:rPr>
        <w:t xml:space="preserve">       </w:t>
      </w:r>
      <w:r>
        <w:rPr>
          <w:rFonts w:hint="eastAsia" w:ascii="仿宋_GB2312" w:hAnsi="仿宋_GB2312" w:eastAsia="仿宋_GB2312" w:cs="仿宋_GB2312"/>
          <w:sz w:val="24"/>
          <w:szCs w:val="28"/>
        </w:rPr>
        <w:t>（供应商授权代表姓名、职务）代表本公司（工厂）参加合肥市政府采购中心</w:t>
      </w:r>
      <w:r>
        <w:rPr>
          <w:rFonts w:hint="eastAsia" w:ascii="仿宋_GB2312" w:hAnsi="仿宋_GB2312" w:eastAsia="仿宋_GB2312" w:cs="仿宋_GB2312"/>
          <w:b/>
          <w:sz w:val="24"/>
          <w:szCs w:val="28"/>
          <w:u w:val="single"/>
          <w:lang w:eastAsia="zh-CN"/>
        </w:rPr>
        <w:t xml:space="preserve">   </w:t>
      </w:r>
      <w:r>
        <w:rPr>
          <w:rFonts w:hint="eastAsia" w:ascii="仿宋_GB2312" w:hAnsi="仿宋_GB2312" w:eastAsia="仿宋_GB2312" w:cs="仿宋_GB2312"/>
          <w:bCs/>
          <w:sz w:val="24"/>
          <w:szCs w:val="28"/>
        </w:rPr>
        <w:t>采购</w:t>
      </w:r>
      <w:r>
        <w:rPr>
          <w:rFonts w:hint="eastAsia" w:ascii="仿宋_GB2312" w:hAnsi="仿宋_GB2312" w:eastAsia="仿宋_GB2312" w:cs="仿宋_GB2312"/>
          <w:bCs/>
          <w:sz w:val="24"/>
          <w:szCs w:val="28"/>
          <w:lang w:eastAsia="zh-CN"/>
        </w:rPr>
        <w:t>询价</w:t>
      </w:r>
      <w:r>
        <w:rPr>
          <w:rFonts w:hint="eastAsia" w:ascii="仿宋_GB2312" w:hAnsi="仿宋_GB2312" w:eastAsia="仿宋_GB2312" w:cs="仿宋_GB2312"/>
          <w:bCs/>
          <w:sz w:val="24"/>
          <w:szCs w:val="28"/>
        </w:rPr>
        <w:t>活动</w:t>
      </w:r>
      <w:r>
        <w:rPr>
          <w:rFonts w:hint="eastAsia" w:ascii="仿宋_GB2312" w:hAnsi="仿宋_GB2312" w:eastAsia="仿宋_GB2312" w:cs="仿宋_GB2312"/>
          <w:sz w:val="24"/>
          <w:szCs w:val="28"/>
        </w:rPr>
        <w:t>，全权代表本公司处理询价过程的一切事宜，包括但不限于：提交响应文件、参与询价、签约等。供应商授权代表在询价过程中所签署的一切文件和处理与之有关的一切事务，本公司均予以认可并对此承担责任。供应商授权代表无转委托权。特此授权。</w:t>
      </w:r>
    </w:p>
    <w:p w14:paraId="245229C3">
      <w:pPr>
        <w:pStyle w:val="9"/>
        <w:pageBreakBefore w:val="0"/>
        <w:kinsoku/>
        <w:wordWrap/>
        <w:overflowPunct/>
        <w:topLinePunct w:val="0"/>
        <w:bidi w:val="0"/>
        <w:snapToGrid w:val="0"/>
        <w:spacing w:line="560" w:lineRule="exact"/>
        <w:ind w:firstLine="480" w:firstLineChars="200"/>
        <w:jc w:val="left"/>
        <w:textAlignment w:val="auto"/>
        <w:rPr>
          <w:rFonts w:hint="eastAsia" w:ascii="仿宋_GB2312" w:hAnsi="仿宋_GB2312" w:eastAsia="仿宋_GB2312" w:cs="仿宋_GB2312"/>
          <w:sz w:val="24"/>
          <w:szCs w:val="28"/>
        </w:rPr>
      </w:pPr>
      <w:r>
        <w:rPr>
          <w:rFonts w:hint="eastAsia" w:ascii="仿宋_GB2312" w:hAnsi="仿宋_GB2312" w:eastAsia="仿宋_GB2312" w:cs="仿宋_GB2312"/>
          <w:sz w:val="24"/>
          <w:szCs w:val="28"/>
        </w:rPr>
        <w:t>本授权书自出具之日起生效。</w:t>
      </w:r>
    </w:p>
    <w:p w14:paraId="4A628560">
      <w:pPr>
        <w:pStyle w:val="9"/>
        <w:pageBreakBefore w:val="0"/>
        <w:kinsoku/>
        <w:wordWrap/>
        <w:overflowPunct/>
        <w:topLinePunct w:val="0"/>
        <w:bidi w:val="0"/>
        <w:snapToGrid w:val="0"/>
        <w:spacing w:line="560" w:lineRule="exact"/>
        <w:ind w:firstLine="480" w:firstLineChars="200"/>
        <w:jc w:val="left"/>
        <w:textAlignment w:val="auto"/>
        <w:rPr>
          <w:rFonts w:hint="eastAsia" w:ascii="仿宋_GB2312" w:hAnsi="仿宋_GB2312" w:eastAsia="仿宋_GB2312" w:cs="仿宋_GB2312"/>
          <w:sz w:val="24"/>
        </w:rPr>
      </w:pPr>
      <w:r>
        <w:rPr>
          <w:rFonts w:hint="eastAsia" w:ascii="仿宋_GB2312" w:hAnsi="仿宋_GB2312" w:eastAsia="仿宋_GB2312" w:cs="仿宋_GB2312"/>
          <w:sz w:val="24"/>
          <w:szCs w:val="28"/>
        </w:rPr>
        <w:t>授权代表</w:t>
      </w:r>
      <w:r>
        <w:rPr>
          <w:rFonts w:hint="eastAsia" w:ascii="仿宋_GB2312" w:hAnsi="仿宋_GB2312" w:eastAsia="仿宋_GB2312" w:cs="仿宋_GB2312"/>
          <w:sz w:val="24"/>
        </w:rPr>
        <w:t>身份证明扫描件或影印件：</w:t>
      </w:r>
    </w:p>
    <w:p w14:paraId="50E5892B">
      <w:pPr>
        <w:pStyle w:val="9"/>
        <w:pageBreakBefore w:val="0"/>
        <w:kinsoku/>
        <w:wordWrap/>
        <w:overflowPunct/>
        <w:topLinePunct w:val="0"/>
        <w:bidi w:val="0"/>
        <w:snapToGrid w:val="0"/>
        <w:spacing w:line="560" w:lineRule="exact"/>
        <w:ind w:firstLine="480" w:firstLineChars="200"/>
        <w:jc w:val="left"/>
        <w:textAlignment w:val="auto"/>
        <w:rPr>
          <w:rFonts w:hint="eastAsia" w:ascii="仿宋_GB2312" w:hAnsi="仿宋_GB2312" w:eastAsia="仿宋_GB2312" w:cs="仿宋_GB2312"/>
          <w:sz w:val="24"/>
        </w:rPr>
      </w:pPr>
    </w:p>
    <w:p w14:paraId="71607629">
      <w:pPr>
        <w:pStyle w:val="9"/>
        <w:pageBreakBefore w:val="0"/>
        <w:kinsoku/>
        <w:wordWrap/>
        <w:overflowPunct/>
        <w:topLinePunct w:val="0"/>
        <w:bidi w:val="0"/>
        <w:snapToGrid w:val="0"/>
        <w:spacing w:line="560" w:lineRule="exact"/>
        <w:ind w:firstLine="480" w:firstLineChars="200"/>
        <w:jc w:val="left"/>
        <w:textAlignment w:val="auto"/>
        <w:rPr>
          <w:rFonts w:hint="eastAsia" w:ascii="仿宋_GB2312" w:hAnsi="仿宋_GB2312" w:eastAsia="仿宋_GB2312" w:cs="仿宋_GB2312"/>
          <w:sz w:val="24"/>
        </w:rPr>
      </w:pPr>
    </w:p>
    <w:p w14:paraId="789D9665">
      <w:pPr>
        <w:pStyle w:val="9"/>
        <w:pageBreakBefore w:val="0"/>
        <w:kinsoku/>
        <w:wordWrap/>
        <w:overflowPunct/>
        <w:topLinePunct w:val="0"/>
        <w:bidi w:val="0"/>
        <w:snapToGrid w:val="0"/>
        <w:spacing w:line="560" w:lineRule="exact"/>
        <w:ind w:firstLine="480" w:firstLineChars="200"/>
        <w:jc w:val="left"/>
        <w:textAlignment w:val="auto"/>
        <w:rPr>
          <w:rFonts w:hint="eastAsia" w:ascii="仿宋_GB2312" w:hAnsi="仿宋_GB2312" w:eastAsia="仿宋_GB2312" w:cs="仿宋_GB2312"/>
          <w:sz w:val="24"/>
        </w:rPr>
      </w:pPr>
    </w:p>
    <w:p w14:paraId="7E8297C6">
      <w:pPr>
        <w:pStyle w:val="9"/>
        <w:pageBreakBefore w:val="0"/>
        <w:kinsoku/>
        <w:wordWrap/>
        <w:overflowPunct/>
        <w:topLinePunct w:val="0"/>
        <w:bidi w:val="0"/>
        <w:snapToGrid w:val="0"/>
        <w:spacing w:line="560" w:lineRule="exact"/>
        <w:ind w:firstLine="480" w:firstLineChars="200"/>
        <w:jc w:val="left"/>
        <w:textAlignment w:val="auto"/>
        <w:rPr>
          <w:rFonts w:hint="eastAsia" w:ascii="仿宋_GB2312" w:hAnsi="仿宋_GB2312" w:eastAsia="仿宋_GB2312" w:cs="仿宋_GB2312"/>
          <w:sz w:val="24"/>
          <w:szCs w:val="28"/>
          <w:u w:val="single"/>
        </w:rPr>
      </w:pPr>
      <w:r>
        <w:rPr>
          <w:rFonts w:hint="eastAsia" w:ascii="仿宋_GB2312" w:hAnsi="仿宋_GB2312" w:eastAsia="仿宋_GB2312" w:cs="仿宋_GB2312"/>
          <w:sz w:val="24"/>
          <w:szCs w:val="28"/>
        </w:rPr>
        <w:t>授权代表联系方式：</w:t>
      </w:r>
      <w:r>
        <w:rPr>
          <w:rFonts w:hint="eastAsia" w:ascii="仿宋_GB2312" w:hAnsi="仿宋_GB2312" w:eastAsia="仿宋_GB2312" w:cs="仿宋_GB2312"/>
          <w:sz w:val="24"/>
          <w:szCs w:val="28"/>
          <w:u w:val="single"/>
        </w:rPr>
        <w:t xml:space="preserve">          （请填写手机号码）</w:t>
      </w:r>
    </w:p>
    <w:p w14:paraId="48DA1A22">
      <w:pPr>
        <w:pStyle w:val="9"/>
        <w:pageBreakBefore w:val="0"/>
        <w:kinsoku/>
        <w:wordWrap/>
        <w:overflowPunct/>
        <w:topLinePunct w:val="0"/>
        <w:bidi w:val="0"/>
        <w:snapToGrid w:val="0"/>
        <w:spacing w:line="560" w:lineRule="exact"/>
        <w:ind w:firstLine="480" w:firstLineChars="200"/>
        <w:jc w:val="left"/>
        <w:textAlignment w:val="auto"/>
        <w:rPr>
          <w:rFonts w:hint="eastAsia" w:ascii="仿宋_GB2312" w:hAnsi="仿宋_GB2312" w:eastAsia="仿宋_GB2312" w:cs="仿宋_GB2312"/>
          <w:sz w:val="24"/>
          <w:szCs w:val="28"/>
        </w:rPr>
      </w:pPr>
    </w:p>
    <w:p w14:paraId="3B4FEAE5">
      <w:pPr>
        <w:pageBreakBefore w:val="0"/>
        <w:kinsoku/>
        <w:wordWrap/>
        <w:overflowPunct/>
        <w:topLinePunct w:val="0"/>
        <w:bidi w:val="0"/>
        <w:spacing w:line="560" w:lineRule="exact"/>
        <w:ind w:firstLine="360" w:firstLineChars="150"/>
        <w:textAlignment w:val="auto"/>
        <w:rPr>
          <w:rFonts w:hint="eastAsia" w:ascii="仿宋_GB2312" w:hAnsi="仿宋_GB2312" w:eastAsia="仿宋_GB2312" w:cs="仿宋_GB2312"/>
          <w:sz w:val="24"/>
          <w:szCs w:val="28"/>
        </w:rPr>
      </w:pPr>
      <w:r>
        <w:rPr>
          <w:rFonts w:hint="eastAsia" w:ascii="仿宋_GB2312" w:hAnsi="仿宋_GB2312" w:eastAsia="仿宋_GB2312" w:cs="仿宋_GB2312"/>
          <w:sz w:val="24"/>
          <w:szCs w:val="28"/>
        </w:rPr>
        <w:t>特此声明。</w:t>
      </w:r>
    </w:p>
    <w:p w14:paraId="195BEC91">
      <w:pPr>
        <w:pageBreakBefore w:val="0"/>
        <w:kinsoku/>
        <w:wordWrap/>
        <w:overflowPunct/>
        <w:topLinePunct w:val="0"/>
        <w:bidi w:val="0"/>
        <w:spacing w:line="560" w:lineRule="exact"/>
        <w:textAlignment w:val="auto"/>
        <w:rPr>
          <w:rFonts w:hint="eastAsia" w:ascii="仿宋_GB2312" w:hAnsi="仿宋_GB2312" w:eastAsia="仿宋_GB2312" w:cs="仿宋_GB2312"/>
          <w:sz w:val="24"/>
          <w:szCs w:val="28"/>
        </w:rPr>
      </w:pPr>
    </w:p>
    <w:p w14:paraId="1B727602">
      <w:pPr>
        <w:pageBreakBefore w:val="0"/>
        <w:kinsoku/>
        <w:wordWrap/>
        <w:overflowPunct/>
        <w:topLinePunct w:val="0"/>
        <w:bidi w:val="0"/>
        <w:spacing w:line="560" w:lineRule="exact"/>
        <w:textAlignment w:val="auto"/>
        <w:rPr>
          <w:rFonts w:hint="eastAsia" w:ascii="仿宋_GB2312" w:hAnsi="仿宋_GB2312" w:eastAsia="仿宋_GB2312" w:cs="仿宋_GB2312"/>
          <w:b/>
          <w:bCs/>
          <w:sz w:val="24"/>
          <w:szCs w:val="28"/>
        </w:rPr>
      </w:pPr>
      <w:r>
        <w:rPr>
          <w:rFonts w:hint="eastAsia" w:ascii="仿宋_GB2312" w:hAnsi="仿宋_GB2312" w:eastAsia="仿宋_GB2312" w:cs="仿宋_GB2312"/>
          <w:b/>
          <w:bCs/>
          <w:sz w:val="24"/>
          <w:szCs w:val="28"/>
        </w:rPr>
        <w:t>供应商电子签章：</w:t>
      </w:r>
      <w:r>
        <w:rPr>
          <w:rFonts w:hint="eastAsia" w:ascii="仿宋_GB2312" w:hAnsi="仿宋_GB2312" w:eastAsia="仿宋_GB2312" w:cs="仿宋_GB2312"/>
          <w:b/>
          <w:bCs/>
          <w:sz w:val="24"/>
          <w:szCs w:val="28"/>
          <w:u w:val="single"/>
        </w:rPr>
        <w:t xml:space="preserve">                    </w:t>
      </w:r>
    </w:p>
    <w:p w14:paraId="200FA356">
      <w:pPr>
        <w:pageBreakBefore w:val="0"/>
        <w:kinsoku/>
        <w:wordWrap/>
        <w:overflowPunct/>
        <w:topLinePunct w:val="0"/>
        <w:bidi w:val="0"/>
        <w:spacing w:line="560" w:lineRule="exact"/>
        <w:textAlignment w:val="auto"/>
        <w:rPr>
          <w:rFonts w:hint="eastAsia" w:ascii="仿宋_GB2312" w:hAnsi="仿宋_GB2312" w:eastAsia="仿宋_GB2312" w:cs="仿宋_GB2312"/>
          <w:sz w:val="24"/>
          <w:szCs w:val="28"/>
        </w:rPr>
      </w:pPr>
      <w:r>
        <w:rPr>
          <w:rFonts w:hint="eastAsia" w:ascii="仿宋_GB2312" w:hAnsi="仿宋_GB2312" w:eastAsia="仿宋_GB2312" w:cs="仿宋_GB2312"/>
          <w:sz w:val="24"/>
          <w:szCs w:val="28"/>
        </w:rPr>
        <w:t>日     期：</w:t>
      </w:r>
      <w:r>
        <w:rPr>
          <w:rFonts w:hint="eastAsia" w:ascii="仿宋_GB2312" w:hAnsi="仿宋_GB2312" w:eastAsia="仿宋_GB2312" w:cs="仿宋_GB2312"/>
          <w:sz w:val="24"/>
          <w:szCs w:val="28"/>
          <w:u w:val="single"/>
        </w:rPr>
        <w:t xml:space="preserve">  </w:t>
      </w:r>
      <w:r>
        <w:rPr>
          <w:rFonts w:hint="eastAsia" w:ascii="仿宋_GB2312" w:hAnsi="仿宋_GB2312" w:eastAsia="仿宋_GB2312" w:cs="仿宋_GB2312"/>
          <w:sz w:val="24"/>
          <w:szCs w:val="28"/>
        </w:rPr>
        <w:t>年</w:t>
      </w:r>
      <w:r>
        <w:rPr>
          <w:rFonts w:hint="eastAsia" w:ascii="仿宋_GB2312" w:hAnsi="仿宋_GB2312" w:eastAsia="仿宋_GB2312" w:cs="仿宋_GB2312"/>
          <w:sz w:val="24"/>
          <w:szCs w:val="28"/>
          <w:u w:val="single"/>
        </w:rPr>
        <w:t xml:space="preserve">  </w:t>
      </w:r>
      <w:r>
        <w:rPr>
          <w:rFonts w:hint="eastAsia" w:ascii="仿宋_GB2312" w:hAnsi="仿宋_GB2312" w:eastAsia="仿宋_GB2312" w:cs="仿宋_GB2312"/>
          <w:sz w:val="24"/>
          <w:szCs w:val="28"/>
        </w:rPr>
        <w:t>月</w:t>
      </w:r>
      <w:r>
        <w:rPr>
          <w:rFonts w:hint="eastAsia" w:ascii="仿宋_GB2312" w:hAnsi="仿宋_GB2312" w:eastAsia="仿宋_GB2312" w:cs="仿宋_GB2312"/>
          <w:sz w:val="24"/>
          <w:szCs w:val="28"/>
          <w:u w:val="single"/>
        </w:rPr>
        <w:t xml:space="preserve">  </w:t>
      </w:r>
      <w:r>
        <w:rPr>
          <w:rFonts w:hint="eastAsia" w:ascii="仿宋_GB2312" w:hAnsi="仿宋_GB2312" w:eastAsia="仿宋_GB2312" w:cs="仿宋_GB2312"/>
          <w:sz w:val="24"/>
          <w:szCs w:val="28"/>
        </w:rPr>
        <w:t>日</w:t>
      </w:r>
    </w:p>
    <w:p w14:paraId="43E976B7">
      <w:pPr>
        <w:pStyle w:val="9"/>
        <w:pageBreakBefore w:val="0"/>
        <w:kinsoku/>
        <w:wordWrap/>
        <w:overflowPunct/>
        <w:topLinePunct w:val="0"/>
        <w:bidi w:val="0"/>
        <w:snapToGrid w:val="0"/>
        <w:spacing w:line="560" w:lineRule="exact"/>
        <w:jc w:val="left"/>
        <w:textAlignment w:val="auto"/>
        <w:rPr>
          <w:rFonts w:hint="eastAsia" w:ascii="仿宋_GB2312" w:hAnsi="仿宋_GB2312" w:eastAsia="仿宋_GB2312" w:cs="仿宋_GB2312"/>
          <w:sz w:val="24"/>
          <w:szCs w:val="28"/>
        </w:rPr>
      </w:pPr>
      <w:r>
        <w:rPr>
          <w:rFonts w:hint="eastAsia" w:ascii="仿宋_GB2312" w:hAnsi="仿宋_GB2312" w:eastAsia="仿宋_GB2312" w:cs="仿宋_GB2312"/>
          <w:sz w:val="24"/>
          <w:szCs w:val="28"/>
        </w:rPr>
        <w:t>注：</w:t>
      </w:r>
    </w:p>
    <w:p w14:paraId="5FEBC8F2">
      <w:pPr>
        <w:pStyle w:val="9"/>
        <w:pageBreakBefore w:val="0"/>
        <w:kinsoku/>
        <w:wordWrap/>
        <w:overflowPunct/>
        <w:topLinePunct w:val="0"/>
        <w:bidi w:val="0"/>
        <w:snapToGrid w:val="0"/>
        <w:spacing w:line="560" w:lineRule="exact"/>
        <w:jc w:val="left"/>
        <w:textAlignment w:val="auto"/>
        <w:rPr>
          <w:rFonts w:hint="eastAsia" w:ascii="仿宋_GB2312" w:hAnsi="仿宋_GB2312" w:eastAsia="仿宋_GB2312" w:cs="仿宋_GB2312"/>
          <w:sz w:val="24"/>
          <w:szCs w:val="28"/>
        </w:rPr>
      </w:pPr>
      <w:r>
        <w:rPr>
          <w:rFonts w:hint="eastAsia" w:ascii="仿宋_GB2312" w:hAnsi="仿宋_GB2312" w:eastAsia="仿宋_GB2312" w:cs="仿宋_GB2312"/>
          <w:sz w:val="24"/>
          <w:szCs w:val="28"/>
        </w:rPr>
        <w:t>1、本项目只允许有唯一的供应商授权代表</w:t>
      </w:r>
      <w:r>
        <w:rPr>
          <w:rFonts w:hint="eastAsia" w:ascii="仿宋_GB2312" w:hAnsi="仿宋_GB2312" w:eastAsia="仿宋_GB2312" w:cs="仿宋_GB2312"/>
          <w:sz w:val="24"/>
          <w:szCs w:val="28"/>
          <w:lang w:eastAsia="zh-CN"/>
        </w:rPr>
        <w:t>，</w:t>
      </w:r>
      <w:r>
        <w:rPr>
          <w:rFonts w:hint="eastAsia" w:ascii="仿宋_GB2312" w:hAnsi="仿宋_GB2312" w:eastAsia="仿宋_GB2312" w:cs="仿宋_GB2312"/>
          <w:sz w:val="24"/>
          <w:szCs w:val="28"/>
        </w:rPr>
        <w:t>提供身份证明扫描件或影印件；</w:t>
      </w:r>
    </w:p>
    <w:p w14:paraId="3E634C77">
      <w:pPr>
        <w:pageBreakBefore w:val="0"/>
        <w:kinsoku/>
        <w:wordWrap/>
        <w:overflowPunct/>
        <w:topLinePunct w:val="0"/>
        <w:bidi w:val="0"/>
        <w:spacing w:line="560" w:lineRule="exact"/>
        <w:textAlignment w:val="auto"/>
        <w:rPr>
          <w:rFonts w:hint="eastAsia" w:ascii="仿宋_GB2312" w:hAnsi="仿宋_GB2312" w:eastAsia="仿宋_GB2312" w:cs="仿宋_GB2312"/>
          <w:sz w:val="24"/>
        </w:rPr>
      </w:pPr>
      <w:r>
        <w:rPr>
          <w:rFonts w:hint="eastAsia" w:ascii="仿宋_GB2312" w:hAnsi="仿宋_GB2312" w:eastAsia="仿宋_GB2312" w:cs="仿宋_GB2312"/>
          <w:sz w:val="24"/>
        </w:rPr>
        <w:t>2、法定代表人参加询价的无需提供询价授权书，仅提供身份证明扫描件或影印件。</w:t>
      </w:r>
    </w:p>
    <w:p w14:paraId="3B8D23D8">
      <w:pPr>
        <w:pageBreakBefore w:val="0"/>
        <w:kinsoku/>
        <w:wordWrap/>
        <w:overflowPunct/>
        <w:topLinePunct w:val="0"/>
        <w:bidi w:val="0"/>
        <w:spacing w:line="560" w:lineRule="exact"/>
        <w:jc w:val="left"/>
        <w:textAlignment w:val="auto"/>
        <w:outlineLvl w:val="0"/>
        <w:rPr>
          <w:rFonts w:hint="eastAsia" w:ascii="仿宋_GB2312" w:hAnsi="仿宋_GB2312" w:eastAsia="仿宋_GB2312" w:cs="仿宋_GB2312"/>
          <w:b/>
          <w:sz w:val="28"/>
          <w:szCs w:val="28"/>
        </w:rPr>
      </w:pPr>
      <w:r>
        <w:rPr>
          <w:rFonts w:hint="eastAsia" w:ascii="仿宋_GB2312" w:hAnsi="仿宋_GB2312" w:eastAsia="仿宋_GB2312" w:cs="仿宋_GB2312"/>
          <w:sz w:val="28"/>
        </w:rPr>
        <w:br w:type="page"/>
      </w:r>
      <w:r>
        <w:rPr>
          <w:rFonts w:hint="eastAsia" w:ascii="仿宋_GB2312" w:hAnsi="仿宋_GB2312" w:eastAsia="仿宋_GB2312" w:cs="仿宋_GB2312"/>
          <w:b/>
          <w:sz w:val="28"/>
          <w:szCs w:val="28"/>
        </w:rPr>
        <w:t>附件5：</w:t>
      </w:r>
    </w:p>
    <w:p w14:paraId="303DD642">
      <w:pPr>
        <w:pageBreakBefore w:val="0"/>
        <w:kinsoku/>
        <w:wordWrap/>
        <w:overflowPunct/>
        <w:topLinePunct w:val="0"/>
        <w:bidi w:val="0"/>
        <w:spacing w:line="560" w:lineRule="exact"/>
        <w:jc w:val="center"/>
        <w:textAlignment w:val="auto"/>
        <w:outlineLvl w:val="0"/>
        <w:rPr>
          <w:rFonts w:hint="eastAsia" w:ascii="仿宋_GB2312" w:hAnsi="仿宋_GB2312" w:eastAsia="仿宋_GB2312" w:cs="仿宋_GB2312"/>
          <w:b/>
          <w:bCs/>
          <w:sz w:val="28"/>
        </w:rPr>
      </w:pPr>
      <w:r>
        <w:rPr>
          <w:rFonts w:hint="eastAsia" w:ascii="仿宋_GB2312" w:hAnsi="仿宋_GB2312" w:eastAsia="仿宋_GB2312" w:cs="仿宋_GB2312"/>
          <w:b/>
          <w:bCs/>
          <w:sz w:val="28"/>
        </w:rPr>
        <w:t>询价响应函</w:t>
      </w:r>
    </w:p>
    <w:p w14:paraId="2D728992">
      <w:pPr>
        <w:pStyle w:val="10"/>
        <w:pageBreakBefore w:val="0"/>
        <w:kinsoku/>
        <w:wordWrap/>
        <w:overflowPunct/>
        <w:topLinePunct w:val="0"/>
        <w:bidi w:val="0"/>
        <w:spacing w:line="560" w:lineRule="exact"/>
        <w:ind w:left="99" w:leftChars="47"/>
        <w:jc w:val="left"/>
        <w:textAlignment w:val="auto"/>
        <w:rPr>
          <w:rFonts w:hint="eastAsia" w:ascii="仿宋_GB2312" w:hAnsi="仿宋_GB2312" w:eastAsia="仿宋_GB2312" w:cs="仿宋_GB2312"/>
          <w:sz w:val="24"/>
        </w:rPr>
      </w:pPr>
      <w:r>
        <w:rPr>
          <w:rFonts w:hint="eastAsia" w:ascii="仿宋_GB2312" w:hAnsi="仿宋_GB2312" w:eastAsia="仿宋_GB2312" w:cs="仿宋_GB2312"/>
          <w:sz w:val="24"/>
        </w:rPr>
        <w:t>致：合肥市图书馆</w:t>
      </w:r>
    </w:p>
    <w:p w14:paraId="1FB0A9F2">
      <w:pPr>
        <w:pageBreakBefore w:val="0"/>
        <w:kinsoku/>
        <w:wordWrap/>
        <w:overflowPunct/>
        <w:topLinePunct w:val="0"/>
        <w:bidi w:val="0"/>
        <w:spacing w:line="560" w:lineRule="exact"/>
        <w:ind w:firstLine="480" w:firstLineChars="200"/>
        <w:textAlignment w:val="auto"/>
        <w:rPr>
          <w:rFonts w:hint="eastAsia" w:ascii="仿宋_GB2312" w:hAnsi="仿宋_GB2312" w:eastAsia="仿宋_GB2312" w:cs="仿宋_GB2312"/>
          <w:dstrike/>
          <w:sz w:val="24"/>
        </w:rPr>
      </w:pPr>
      <w:r>
        <w:rPr>
          <w:rFonts w:hint="eastAsia" w:ascii="仿宋_GB2312" w:hAnsi="仿宋_GB2312" w:eastAsia="仿宋_GB2312" w:cs="仿宋_GB2312"/>
          <w:sz w:val="24"/>
        </w:rPr>
        <w:t>根据贵方“</w:t>
      </w:r>
      <w:r>
        <w:rPr>
          <w:rFonts w:hint="eastAsia" w:ascii="仿宋_GB2312" w:hAnsi="仿宋_GB2312" w:eastAsia="仿宋_GB2312" w:cs="仿宋_GB2312"/>
          <w:b/>
          <w:sz w:val="24"/>
          <w:szCs w:val="28"/>
          <w:u w:val="single"/>
        </w:rPr>
        <w:t xml:space="preserve">     </w:t>
      </w:r>
      <w:r>
        <w:rPr>
          <w:rFonts w:hint="eastAsia" w:ascii="仿宋_GB2312" w:hAnsi="仿宋_GB2312" w:eastAsia="仿宋_GB2312" w:cs="仿宋_GB2312"/>
          <w:sz w:val="24"/>
        </w:rPr>
        <w:t>”采购询价邀请公告，我方正式授权下述签字人</w:t>
      </w:r>
      <w:r>
        <w:rPr>
          <w:rFonts w:hint="eastAsia" w:ascii="仿宋_GB2312" w:hAnsi="仿宋_GB2312" w:eastAsia="仿宋_GB2312" w:cs="仿宋_GB2312"/>
          <w:sz w:val="24"/>
          <w:u w:val="single"/>
        </w:rPr>
        <w:t xml:space="preserve">        </w:t>
      </w:r>
      <w:r>
        <w:rPr>
          <w:rFonts w:hint="eastAsia" w:ascii="仿宋_GB2312" w:hAnsi="仿宋_GB2312" w:eastAsia="仿宋_GB2312" w:cs="仿宋_GB2312"/>
          <w:sz w:val="24"/>
        </w:rPr>
        <w:t>（授权代表姓名）代表供应商</w:t>
      </w:r>
      <w:r>
        <w:rPr>
          <w:rFonts w:hint="eastAsia" w:ascii="仿宋_GB2312" w:hAnsi="仿宋_GB2312" w:eastAsia="仿宋_GB2312" w:cs="仿宋_GB2312"/>
          <w:sz w:val="24"/>
          <w:u w:val="single"/>
        </w:rPr>
        <w:t xml:space="preserve">         </w:t>
      </w:r>
      <w:r>
        <w:rPr>
          <w:rFonts w:hint="eastAsia" w:ascii="仿宋_GB2312" w:hAnsi="仿宋_GB2312" w:eastAsia="仿宋_GB2312" w:cs="仿宋_GB2312"/>
          <w:sz w:val="24"/>
        </w:rPr>
        <w:t>（供应商全称）。据此函，我方兹宣布同意如下：</w:t>
      </w:r>
    </w:p>
    <w:p w14:paraId="36A77EA7">
      <w:pPr>
        <w:pageBreakBefore w:val="0"/>
        <w:kinsoku/>
        <w:wordWrap/>
        <w:overflowPunct/>
        <w:topLinePunct w:val="0"/>
        <w:bidi w:val="0"/>
        <w:spacing w:line="560" w:lineRule="exact"/>
        <w:ind w:firstLine="480" w:firstLineChars="200"/>
        <w:textAlignment w:val="auto"/>
        <w:rPr>
          <w:rFonts w:hint="eastAsia" w:ascii="仿宋_GB2312" w:hAnsi="仿宋_GB2312" w:eastAsia="仿宋_GB2312" w:cs="仿宋_GB2312"/>
          <w:sz w:val="24"/>
        </w:rPr>
      </w:pPr>
      <w:r>
        <w:rPr>
          <w:rFonts w:hint="eastAsia" w:ascii="仿宋_GB2312" w:hAnsi="仿宋_GB2312" w:eastAsia="仿宋_GB2312" w:cs="仿宋_GB2312"/>
          <w:sz w:val="24"/>
        </w:rPr>
        <w:t>1、如我公司成交，我公司承诺愿意按本次询价文件规定及最终报价承诺供货及安装。</w:t>
      </w:r>
    </w:p>
    <w:p w14:paraId="405E5BB5">
      <w:pPr>
        <w:pageBreakBefore w:val="0"/>
        <w:kinsoku/>
        <w:wordWrap/>
        <w:overflowPunct/>
        <w:topLinePunct w:val="0"/>
        <w:bidi w:val="0"/>
        <w:spacing w:line="560" w:lineRule="exact"/>
        <w:ind w:firstLine="480" w:firstLineChars="200"/>
        <w:textAlignment w:val="auto"/>
        <w:rPr>
          <w:rFonts w:hint="eastAsia" w:ascii="仿宋_GB2312" w:hAnsi="仿宋_GB2312" w:eastAsia="仿宋_GB2312" w:cs="仿宋_GB2312"/>
          <w:sz w:val="24"/>
        </w:rPr>
      </w:pPr>
      <w:r>
        <w:rPr>
          <w:rFonts w:hint="eastAsia" w:ascii="仿宋_GB2312" w:hAnsi="仿宋_GB2312" w:eastAsia="仿宋_GB2312" w:cs="仿宋_GB2312"/>
          <w:sz w:val="24"/>
        </w:rPr>
        <w:t>2、我方根据本次询价文件的规定，严格履行合同的责任和义务,并保证于买方要求的日期内完成服务，并通过买方验收。</w:t>
      </w:r>
    </w:p>
    <w:p w14:paraId="3334638F">
      <w:pPr>
        <w:pageBreakBefore w:val="0"/>
        <w:kinsoku/>
        <w:wordWrap/>
        <w:overflowPunct/>
        <w:topLinePunct w:val="0"/>
        <w:bidi w:val="0"/>
        <w:spacing w:line="560" w:lineRule="exact"/>
        <w:ind w:firstLine="480" w:firstLineChars="200"/>
        <w:textAlignment w:val="auto"/>
        <w:rPr>
          <w:rFonts w:hint="eastAsia" w:ascii="仿宋_GB2312" w:hAnsi="仿宋_GB2312" w:eastAsia="仿宋_GB2312" w:cs="仿宋_GB2312"/>
          <w:sz w:val="24"/>
        </w:rPr>
      </w:pPr>
      <w:r>
        <w:rPr>
          <w:rFonts w:hint="eastAsia" w:ascii="仿宋_GB2312" w:hAnsi="仿宋_GB2312" w:eastAsia="仿宋_GB2312" w:cs="仿宋_GB2312"/>
          <w:sz w:val="24"/>
        </w:rPr>
        <w:t>3、我方承诺报价低于同类货物和服务的市场平均价格。</w:t>
      </w:r>
    </w:p>
    <w:p w14:paraId="12E7DD07">
      <w:pPr>
        <w:pageBreakBefore w:val="0"/>
        <w:kinsoku/>
        <w:wordWrap/>
        <w:overflowPunct/>
        <w:topLinePunct w:val="0"/>
        <w:bidi w:val="0"/>
        <w:spacing w:line="560" w:lineRule="exact"/>
        <w:ind w:firstLine="480" w:firstLineChars="200"/>
        <w:textAlignment w:val="auto"/>
        <w:rPr>
          <w:rFonts w:hint="eastAsia" w:ascii="仿宋_GB2312" w:hAnsi="仿宋_GB2312" w:eastAsia="仿宋_GB2312" w:cs="仿宋_GB2312"/>
          <w:sz w:val="24"/>
        </w:rPr>
      </w:pPr>
      <w:r>
        <w:rPr>
          <w:rFonts w:hint="eastAsia" w:ascii="仿宋_GB2312" w:hAnsi="仿宋_GB2312" w:eastAsia="仿宋_GB2312" w:cs="仿宋_GB2312"/>
          <w:sz w:val="24"/>
        </w:rPr>
        <w:t>4、我方已详细审核本次询价文件，包括询价文件附件、参考资料、询价文件修改书或图纸（如有），我方正式认可并遵守本次询价文件，并对询价文件各项条款、规定及要求均无异议。我方知道必须放弃提出含糊不清或误解的问题的权利。</w:t>
      </w:r>
    </w:p>
    <w:p w14:paraId="5F4C08FA">
      <w:pPr>
        <w:pageBreakBefore w:val="0"/>
        <w:kinsoku/>
        <w:wordWrap/>
        <w:overflowPunct/>
        <w:topLinePunct w:val="0"/>
        <w:bidi w:val="0"/>
        <w:spacing w:line="560" w:lineRule="exact"/>
        <w:ind w:firstLine="480" w:firstLineChars="200"/>
        <w:textAlignment w:val="auto"/>
        <w:rPr>
          <w:rFonts w:hint="eastAsia" w:ascii="仿宋_GB2312" w:hAnsi="仿宋_GB2312" w:eastAsia="仿宋_GB2312" w:cs="仿宋_GB2312"/>
          <w:sz w:val="24"/>
        </w:rPr>
      </w:pPr>
      <w:r>
        <w:rPr>
          <w:rFonts w:hint="eastAsia" w:ascii="仿宋_GB2312" w:hAnsi="仿宋_GB2312" w:eastAsia="仿宋_GB2312" w:cs="仿宋_GB2312"/>
          <w:sz w:val="24"/>
        </w:rPr>
        <w:t>5、我方同意从供应商须知规定的询价日期起遵循本询价文件，并在供应商须知规定的询价有效期之前均具有约束力。</w:t>
      </w:r>
    </w:p>
    <w:p w14:paraId="428799C6">
      <w:pPr>
        <w:pageBreakBefore w:val="0"/>
        <w:kinsoku/>
        <w:wordWrap/>
        <w:overflowPunct/>
        <w:topLinePunct w:val="0"/>
        <w:bidi w:val="0"/>
        <w:spacing w:line="560" w:lineRule="exact"/>
        <w:ind w:firstLine="480" w:firstLineChars="200"/>
        <w:textAlignment w:val="auto"/>
        <w:rPr>
          <w:rFonts w:hint="eastAsia" w:ascii="仿宋_GB2312" w:hAnsi="仿宋_GB2312" w:eastAsia="仿宋_GB2312" w:cs="仿宋_GB2312"/>
          <w:sz w:val="24"/>
        </w:rPr>
      </w:pPr>
      <w:r>
        <w:rPr>
          <w:rFonts w:hint="eastAsia" w:ascii="仿宋_GB2312" w:hAnsi="仿宋_GB2312" w:eastAsia="仿宋_GB2312" w:cs="仿宋_GB2312"/>
          <w:sz w:val="24"/>
        </w:rPr>
        <w:t>6、我方同意按贵方要求在询价现场规定时间内向贵方提供与其询价有关的任何证据或补充资料，否则，我方的响应文件可被贵方拒绝。</w:t>
      </w:r>
    </w:p>
    <w:p w14:paraId="7EC3E59E">
      <w:pPr>
        <w:pageBreakBefore w:val="0"/>
        <w:kinsoku/>
        <w:wordWrap/>
        <w:overflowPunct/>
        <w:topLinePunct w:val="0"/>
        <w:bidi w:val="0"/>
        <w:spacing w:line="560" w:lineRule="exact"/>
        <w:ind w:firstLine="480" w:firstLineChars="200"/>
        <w:textAlignment w:val="auto"/>
        <w:rPr>
          <w:rFonts w:hint="eastAsia" w:ascii="仿宋_GB2312" w:hAnsi="仿宋_GB2312" w:eastAsia="仿宋_GB2312" w:cs="仿宋_GB2312"/>
          <w:sz w:val="24"/>
        </w:rPr>
      </w:pPr>
      <w:r>
        <w:rPr>
          <w:rFonts w:hint="eastAsia" w:ascii="仿宋_GB2312" w:hAnsi="仿宋_GB2312" w:eastAsia="仿宋_GB2312" w:cs="仿宋_GB2312"/>
          <w:sz w:val="24"/>
        </w:rPr>
        <w:t>7、我方完全理解贵方不一定接受最低报价的询价。</w:t>
      </w:r>
    </w:p>
    <w:p w14:paraId="5BD5759D">
      <w:pPr>
        <w:pageBreakBefore w:val="0"/>
        <w:kinsoku/>
        <w:wordWrap/>
        <w:overflowPunct/>
        <w:topLinePunct w:val="0"/>
        <w:bidi w:val="0"/>
        <w:spacing w:line="560" w:lineRule="exact"/>
        <w:ind w:firstLine="480" w:firstLineChars="200"/>
        <w:textAlignment w:val="auto"/>
        <w:rPr>
          <w:rFonts w:hint="eastAsia" w:ascii="仿宋_GB2312" w:hAnsi="仿宋_GB2312" w:eastAsia="仿宋_GB2312" w:cs="仿宋_GB2312"/>
          <w:sz w:val="24"/>
        </w:rPr>
      </w:pPr>
      <w:r>
        <w:rPr>
          <w:rFonts w:hint="eastAsia" w:ascii="仿宋_GB2312" w:hAnsi="仿宋_GB2312" w:eastAsia="仿宋_GB2312" w:cs="仿宋_GB2312"/>
          <w:sz w:val="24"/>
        </w:rPr>
        <w:t>8、我方同意询价文件规定的付款方式、免费质保期限。</w:t>
      </w:r>
    </w:p>
    <w:p w14:paraId="57AD11EC">
      <w:pPr>
        <w:pageBreakBefore w:val="0"/>
        <w:kinsoku/>
        <w:wordWrap/>
        <w:overflowPunct/>
        <w:topLinePunct w:val="0"/>
        <w:bidi w:val="0"/>
        <w:spacing w:line="560" w:lineRule="exact"/>
        <w:ind w:firstLine="480" w:firstLineChars="200"/>
        <w:textAlignment w:val="auto"/>
        <w:rPr>
          <w:rFonts w:hint="eastAsia" w:ascii="仿宋_GB2312" w:hAnsi="仿宋_GB2312" w:eastAsia="仿宋_GB2312" w:cs="仿宋_GB2312"/>
          <w:sz w:val="24"/>
        </w:rPr>
      </w:pPr>
      <w:r>
        <w:rPr>
          <w:rFonts w:hint="eastAsia" w:ascii="仿宋_GB2312" w:hAnsi="仿宋_GB2312" w:eastAsia="仿宋_GB2312" w:cs="仿宋_GB2312"/>
          <w:sz w:val="24"/>
        </w:rPr>
        <w:t>9、我方对响应文件中所提供资料、文件、证书及证件的真实性和有效性负责。</w:t>
      </w:r>
    </w:p>
    <w:p w14:paraId="715AACB8">
      <w:pPr>
        <w:pageBreakBefore w:val="0"/>
        <w:kinsoku/>
        <w:wordWrap/>
        <w:overflowPunct/>
        <w:topLinePunct w:val="0"/>
        <w:bidi w:val="0"/>
        <w:spacing w:line="560" w:lineRule="exact"/>
        <w:ind w:firstLine="480" w:firstLineChars="200"/>
        <w:textAlignment w:val="auto"/>
        <w:rPr>
          <w:rFonts w:hint="eastAsia" w:ascii="仿宋_GB2312" w:hAnsi="仿宋_GB2312" w:eastAsia="仿宋_GB2312" w:cs="仿宋_GB2312"/>
          <w:sz w:val="24"/>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8"/>
    <w:family w:val="roma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KSOFF9CBECC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780685405"/>
      <w:docPartObj>
        <w:docPartGallery w:val="autotext"/>
      </w:docPartObj>
    </w:sdtPr>
    <w:sdtContent>
      <w:sdt>
        <w:sdtPr>
          <w:id w:val="-1669238322"/>
          <w:docPartObj>
            <w:docPartGallery w:val="autotext"/>
          </w:docPartObj>
        </w:sdtPr>
        <w:sdtContent>
          <w:p w14:paraId="6468E1C9">
            <w:pPr>
              <w:pStyle w:val="12"/>
              <w:jc w:val="center"/>
            </w:pPr>
            <w:r>
              <w:rPr>
                <w:lang w:val="zh-CN"/>
              </w:rPr>
              <w:t xml:space="preserve"> </w:t>
            </w:r>
            <w:r>
              <w:rPr>
                <w:b/>
                <w:bCs/>
                <w:sz w:val="24"/>
                <w:szCs w:val="24"/>
              </w:rPr>
              <w:fldChar w:fldCharType="begin"/>
            </w:r>
            <w:r>
              <w:rPr>
                <w:b/>
                <w:bCs/>
              </w:rPr>
              <w:instrText xml:space="preserve">PAGE</w:instrText>
            </w:r>
            <w:r>
              <w:rPr>
                <w:b/>
                <w:bCs/>
                <w:sz w:val="24"/>
                <w:szCs w:val="24"/>
              </w:rPr>
              <w:fldChar w:fldCharType="separate"/>
            </w:r>
            <w:r>
              <w:rPr>
                <w:b/>
                <w:bCs/>
              </w:rPr>
              <w:t>7</w:t>
            </w:r>
            <w:r>
              <w:rPr>
                <w:b/>
                <w:bCs/>
                <w:sz w:val="24"/>
                <w:szCs w:val="24"/>
              </w:rPr>
              <w:fldChar w:fldCharType="end"/>
            </w:r>
            <w:r>
              <w:rPr>
                <w:lang w:val="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7</w:t>
            </w:r>
            <w:r>
              <w:rPr>
                <w:b/>
                <w:bCs/>
                <w:sz w:val="24"/>
                <w:szCs w:val="24"/>
              </w:rPr>
              <w:fldChar w:fldCharType="end"/>
            </w:r>
          </w:p>
        </w:sdtContent>
      </w:sdt>
    </w:sdtContent>
  </w:sdt>
  <w:p w14:paraId="01C3BFC8">
    <w:pPr>
      <w:pStyle w:val="12"/>
    </w:pPr>
  </w:p>
  <w:p w14:paraId="7CD4F952"/>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U2NTJjMGY2NTBlMmE4NTQwMWU1NjY1MzIxY2Q4MDkifQ=="/>
  </w:docVars>
  <w:rsids>
    <w:rsidRoot w:val="009953BE"/>
    <w:rsid w:val="00005DB7"/>
    <w:rsid w:val="00017BA9"/>
    <w:rsid w:val="00027554"/>
    <w:rsid w:val="000364D7"/>
    <w:rsid w:val="000414AE"/>
    <w:rsid w:val="00057E14"/>
    <w:rsid w:val="00066CBF"/>
    <w:rsid w:val="00067BFA"/>
    <w:rsid w:val="000B32FA"/>
    <w:rsid w:val="000D148D"/>
    <w:rsid w:val="000E4B08"/>
    <w:rsid w:val="0013327B"/>
    <w:rsid w:val="001366BD"/>
    <w:rsid w:val="00147003"/>
    <w:rsid w:val="00162148"/>
    <w:rsid w:val="00184BF9"/>
    <w:rsid w:val="0022041F"/>
    <w:rsid w:val="002224B9"/>
    <w:rsid w:val="00222894"/>
    <w:rsid w:val="00254D2F"/>
    <w:rsid w:val="002578D9"/>
    <w:rsid w:val="00293EDC"/>
    <w:rsid w:val="0029774B"/>
    <w:rsid w:val="002D4D0E"/>
    <w:rsid w:val="002F5885"/>
    <w:rsid w:val="003732CF"/>
    <w:rsid w:val="00385817"/>
    <w:rsid w:val="00387E20"/>
    <w:rsid w:val="0039085D"/>
    <w:rsid w:val="00396A06"/>
    <w:rsid w:val="003A2B60"/>
    <w:rsid w:val="003E5D61"/>
    <w:rsid w:val="003E7F34"/>
    <w:rsid w:val="00410E52"/>
    <w:rsid w:val="00432EF3"/>
    <w:rsid w:val="004844CD"/>
    <w:rsid w:val="004D1E76"/>
    <w:rsid w:val="004E77FD"/>
    <w:rsid w:val="00521171"/>
    <w:rsid w:val="00522BC5"/>
    <w:rsid w:val="005325EB"/>
    <w:rsid w:val="00553F92"/>
    <w:rsid w:val="005600C0"/>
    <w:rsid w:val="0056263A"/>
    <w:rsid w:val="005956F9"/>
    <w:rsid w:val="00612C8A"/>
    <w:rsid w:val="00654818"/>
    <w:rsid w:val="00656045"/>
    <w:rsid w:val="0067420C"/>
    <w:rsid w:val="00676D11"/>
    <w:rsid w:val="006773D0"/>
    <w:rsid w:val="00690D11"/>
    <w:rsid w:val="006B3712"/>
    <w:rsid w:val="006B7E98"/>
    <w:rsid w:val="006D25E0"/>
    <w:rsid w:val="006E14D2"/>
    <w:rsid w:val="00714C65"/>
    <w:rsid w:val="00737BDB"/>
    <w:rsid w:val="0075437E"/>
    <w:rsid w:val="00763FF4"/>
    <w:rsid w:val="007C6E09"/>
    <w:rsid w:val="007C6E4E"/>
    <w:rsid w:val="007E42D8"/>
    <w:rsid w:val="008015B1"/>
    <w:rsid w:val="008348BB"/>
    <w:rsid w:val="008359EC"/>
    <w:rsid w:val="00845C0E"/>
    <w:rsid w:val="008658F3"/>
    <w:rsid w:val="00867940"/>
    <w:rsid w:val="00887534"/>
    <w:rsid w:val="00890ADF"/>
    <w:rsid w:val="008A097D"/>
    <w:rsid w:val="008B30D8"/>
    <w:rsid w:val="008E7280"/>
    <w:rsid w:val="00912723"/>
    <w:rsid w:val="009222A9"/>
    <w:rsid w:val="00963A61"/>
    <w:rsid w:val="00963B10"/>
    <w:rsid w:val="00973B39"/>
    <w:rsid w:val="009953BE"/>
    <w:rsid w:val="009A4EDC"/>
    <w:rsid w:val="009C6DD1"/>
    <w:rsid w:val="00A03A11"/>
    <w:rsid w:val="00A62D06"/>
    <w:rsid w:val="00A93D0B"/>
    <w:rsid w:val="00A97D89"/>
    <w:rsid w:val="00AC5D8A"/>
    <w:rsid w:val="00AE1ADC"/>
    <w:rsid w:val="00B11437"/>
    <w:rsid w:val="00B23E34"/>
    <w:rsid w:val="00B307D7"/>
    <w:rsid w:val="00B6082A"/>
    <w:rsid w:val="00B62A4F"/>
    <w:rsid w:val="00B86DA8"/>
    <w:rsid w:val="00BB1F4E"/>
    <w:rsid w:val="00BC5706"/>
    <w:rsid w:val="00BF41CC"/>
    <w:rsid w:val="00C1215A"/>
    <w:rsid w:val="00C23476"/>
    <w:rsid w:val="00C246C7"/>
    <w:rsid w:val="00C61E6E"/>
    <w:rsid w:val="00C7052F"/>
    <w:rsid w:val="00C73BB2"/>
    <w:rsid w:val="00CA26A6"/>
    <w:rsid w:val="00CA5F2E"/>
    <w:rsid w:val="00CB2176"/>
    <w:rsid w:val="00CB3343"/>
    <w:rsid w:val="00CB749C"/>
    <w:rsid w:val="00CD3C9F"/>
    <w:rsid w:val="00CE0F6C"/>
    <w:rsid w:val="00CF328F"/>
    <w:rsid w:val="00D12ED6"/>
    <w:rsid w:val="00D15968"/>
    <w:rsid w:val="00D40FC2"/>
    <w:rsid w:val="00D4120A"/>
    <w:rsid w:val="00D660C8"/>
    <w:rsid w:val="00D812C0"/>
    <w:rsid w:val="00D81C4D"/>
    <w:rsid w:val="00DC0FE5"/>
    <w:rsid w:val="00DE0059"/>
    <w:rsid w:val="00E51ECF"/>
    <w:rsid w:val="00E70221"/>
    <w:rsid w:val="00E91EC2"/>
    <w:rsid w:val="00EB4477"/>
    <w:rsid w:val="00EE14B1"/>
    <w:rsid w:val="00F2115D"/>
    <w:rsid w:val="00F46CC6"/>
    <w:rsid w:val="00F90168"/>
    <w:rsid w:val="00F92CD5"/>
    <w:rsid w:val="00F9622F"/>
    <w:rsid w:val="00FD0C8A"/>
    <w:rsid w:val="00FE4E90"/>
    <w:rsid w:val="03EF76FC"/>
    <w:rsid w:val="055A3581"/>
    <w:rsid w:val="05852021"/>
    <w:rsid w:val="073D00CA"/>
    <w:rsid w:val="09524FB2"/>
    <w:rsid w:val="0CC021AB"/>
    <w:rsid w:val="0E3148E4"/>
    <w:rsid w:val="0E76181E"/>
    <w:rsid w:val="106F7E44"/>
    <w:rsid w:val="22806ABE"/>
    <w:rsid w:val="23A808C2"/>
    <w:rsid w:val="26F94000"/>
    <w:rsid w:val="2930639C"/>
    <w:rsid w:val="2976635D"/>
    <w:rsid w:val="2F1278D8"/>
    <w:rsid w:val="2FDA17ED"/>
    <w:rsid w:val="319500EC"/>
    <w:rsid w:val="31E7052B"/>
    <w:rsid w:val="3204269A"/>
    <w:rsid w:val="322476FE"/>
    <w:rsid w:val="33832D8D"/>
    <w:rsid w:val="3DF902CA"/>
    <w:rsid w:val="45E85CD5"/>
    <w:rsid w:val="46203734"/>
    <w:rsid w:val="4B074905"/>
    <w:rsid w:val="52E03479"/>
    <w:rsid w:val="58240E78"/>
    <w:rsid w:val="63E57D39"/>
    <w:rsid w:val="642C6CC2"/>
    <w:rsid w:val="6D380E9D"/>
    <w:rsid w:val="6E54141B"/>
    <w:rsid w:val="70074E3A"/>
    <w:rsid w:val="73286D50"/>
    <w:rsid w:val="77BC0CCE"/>
    <w:rsid w:val="7AAD3E36"/>
    <w:rsid w:val="7CFE03C3"/>
    <w:rsid w:val="7FB0581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qFormat="1" w:unhideWhenUsed="0" w:uiPriority="1259" w:semiHidden="0"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qFormat="1" w:unhideWhenUsed="0" w:uiPriority="0" w:semiHidden="0"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0" w:semiHidden="0" w:name="Date"/>
    <w:lsdException w:uiPriority="99" w:name="Body Text First Indent"/>
    <w:lsdException w:qFormat="1" w:uiPriority="99" w:semiHidden="0" w:name="Body Text First Indent 2"/>
    <w:lsdException w:uiPriority="99" w:name="Note Heading"/>
    <w:lsdException w:uiPriority="99" w:name="Body Text 2"/>
    <w:lsdException w:qFormat="1" w:unhideWhenUsed="0" w:uiPriority="0" w:semiHidden="0"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6">
    <w:name w:val="heading 1"/>
    <w:basedOn w:val="1"/>
    <w:next w:val="1"/>
    <w:link w:val="25"/>
    <w:qFormat/>
    <w:uiPriority w:val="9"/>
    <w:pPr>
      <w:keepNext/>
      <w:keepLines/>
      <w:spacing w:before="340" w:after="330" w:line="578" w:lineRule="auto"/>
      <w:outlineLvl w:val="0"/>
    </w:pPr>
    <w:rPr>
      <w:b/>
      <w:bCs/>
      <w:kern w:val="44"/>
      <w:sz w:val="44"/>
      <w:szCs w:val="44"/>
    </w:rPr>
  </w:style>
  <w:style w:type="paragraph" w:styleId="7">
    <w:name w:val="heading 2"/>
    <w:basedOn w:val="1"/>
    <w:next w:val="1"/>
    <w:link w:val="20"/>
    <w:qFormat/>
    <w:uiPriority w:val="0"/>
    <w:pPr>
      <w:keepNext/>
      <w:keepLines/>
      <w:spacing w:before="260" w:after="260" w:line="416" w:lineRule="auto"/>
      <w:outlineLvl w:val="1"/>
    </w:pPr>
    <w:rPr>
      <w:rFonts w:ascii="Arial" w:hAnsi="Arial" w:eastAsia="黑体" w:cs="Times New Roman"/>
      <w:b/>
      <w:bCs/>
      <w:sz w:val="32"/>
      <w:szCs w:val="32"/>
    </w:rPr>
  </w:style>
  <w:style w:type="character" w:default="1" w:styleId="15">
    <w:name w:val="Default Paragraph Font"/>
    <w:semiHidden/>
    <w:unhideWhenUsed/>
    <w:qFormat/>
    <w:uiPriority w:val="1"/>
  </w:style>
  <w:style w:type="table" w:default="1" w:styleId="14">
    <w:name w:val="Normal Table"/>
    <w:semiHidden/>
    <w:unhideWhenUsed/>
    <w:qFormat/>
    <w:uiPriority w:val="99"/>
    <w:tblPr>
      <w:tblCellMar>
        <w:top w:w="0" w:type="dxa"/>
        <w:left w:w="108" w:type="dxa"/>
        <w:bottom w:w="0" w:type="dxa"/>
        <w:right w:w="108" w:type="dxa"/>
      </w:tblCellMar>
    </w:tblPr>
  </w:style>
  <w:style w:type="paragraph" w:styleId="2">
    <w:name w:val="Body Text First Indent 2"/>
    <w:basedOn w:val="3"/>
    <w:next w:val="5"/>
    <w:unhideWhenUsed/>
    <w:qFormat/>
    <w:uiPriority w:val="99"/>
    <w:pPr>
      <w:spacing w:after="120"/>
      <w:ind w:left="420" w:leftChars="200" w:firstLine="420" w:firstLineChars="200"/>
    </w:pPr>
    <w:rPr>
      <w:sz w:val="21"/>
    </w:rPr>
  </w:style>
  <w:style w:type="paragraph" w:styleId="3">
    <w:name w:val="Body Text Indent"/>
    <w:basedOn w:val="1"/>
    <w:next w:val="4"/>
    <w:qFormat/>
    <w:uiPriority w:val="0"/>
    <w:pPr>
      <w:ind w:firstLine="645"/>
    </w:pPr>
    <w:rPr>
      <w:rFonts w:ascii="楷体_GB2312" w:eastAsia="楷体_GB2312"/>
      <w:sz w:val="32"/>
    </w:rPr>
  </w:style>
  <w:style w:type="paragraph" w:styleId="4">
    <w:name w:val="envelope return"/>
    <w:basedOn w:val="1"/>
    <w:qFormat/>
    <w:uiPriority w:val="1259"/>
    <w:pPr>
      <w:snapToGrid w:val="0"/>
    </w:pPr>
    <w:rPr>
      <w:rFonts w:ascii="Arial" w:hAnsi="Arial" w:cs="Arial"/>
    </w:rPr>
  </w:style>
  <w:style w:type="paragraph" w:styleId="5">
    <w:name w:val="List"/>
    <w:basedOn w:val="1"/>
    <w:qFormat/>
    <w:uiPriority w:val="0"/>
    <w:pPr>
      <w:ind w:left="420" w:hanging="420"/>
    </w:pPr>
    <w:rPr>
      <w:rFonts w:ascii="Arial" w:hAnsi="Arial" w:eastAsia="楷体_GB2312"/>
      <w:kern w:val="2"/>
      <w:sz w:val="28"/>
    </w:rPr>
  </w:style>
  <w:style w:type="paragraph" w:styleId="8">
    <w:name w:val="Body Text 3"/>
    <w:basedOn w:val="1"/>
    <w:link w:val="21"/>
    <w:qFormat/>
    <w:uiPriority w:val="0"/>
    <w:pPr>
      <w:spacing w:beforeLines="50" w:afterLines="50" w:line="460" w:lineRule="exact"/>
      <w:jc w:val="center"/>
    </w:pPr>
    <w:rPr>
      <w:rFonts w:ascii="仿宋_GB2312" w:hAnsi="Arial" w:eastAsia="仿宋_GB2312" w:cs="Times New Roman"/>
      <w:bCs/>
      <w:sz w:val="28"/>
      <w:szCs w:val="28"/>
    </w:rPr>
  </w:style>
  <w:style w:type="paragraph" w:styleId="9">
    <w:name w:val="Plain Text"/>
    <w:basedOn w:val="1"/>
    <w:link w:val="23"/>
    <w:qFormat/>
    <w:uiPriority w:val="0"/>
    <w:rPr>
      <w:rFonts w:ascii="宋体" w:hAnsi="Courier New" w:eastAsia="宋体" w:cs="Times New Roman"/>
      <w:szCs w:val="21"/>
    </w:rPr>
  </w:style>
  <w:style w:type="paragraph" w:styleId="10">
    <w:name w:val="Date"/>
    <w:basedOn w:val="1"/>
    <w:next w:val="1"/>
    <w:link w:val="24"/>
    <w:unhideWhenUsed/>
    <w:qFormat/>
    <w:uiPriority w:val="0"/>
    <w:pPr>
      <w:ind w:left="100" w:leftChars="2500"/>
    </w:pPr>
  </w:style>
  <w:style w:type="paragraph" w:styleId="11">
    <w:name w:val="Balloon Text"/>
    <w:basedOn w:val="1"/>
    <w:link w:val="19"/>
    <w:semiHidden/>
    <w:unhideWhenUsed/>
    <w:qFormat/>
    <w:uiPriority w:val="99"/>
    <w:rPr>
      <w:sz w:val="18"/>
      <w:szCs w:val="18"/>
    </w:rPr>
  </w:style>
  <w:style w:type="paragraph" w:styleId="12">
    <w:name w:val="footer"/>
    <w:basedOn w:val="1"/>
    <w:link w:val="18"/>
    <w:unhideWhenUsed/>
    <w:qFormat/>
    <w:uiPriority w:val="99"/>
    <w:pPr>
      <w:tabs>
        <w:tab w:val="center" w:pos="4153"/>
        <w:tab w:val="right" w:pos="8306"/>
      </w:tabs>
      <w:snapToGrid w:val="0"/>
      <w:jc w:val="left"/>
    </w:pPr>
    <w:rPr>
      <w:sz w:val="18"/>
      <w:szCs w:val="18"/>
    </w:rPr>
  </w:style>
  <w:style w:type="paragraph" w:styleId="13">
    <w:name w:val="header"/>
    <w:basedOn w:val="1"/>
    <w:link w:val="17"/>
    <w:unhideWhenUsed/>
    <w:qFormat/>
    <w:uiPriority w:val="99"/>
    <w:pPr>
      <w:pBdr>
        <w:bottom w:val="single" w:color="auto" w:sz="6" w:space="1"/>
      </w:pBdr>
      <w:tabs>
        <w:tab w:val="center" w:pos="4153"/>
        <w:tab w:val="right" w:pos="8306"/>
      </w:tabs>
      <w:snapToGrid w:val="0"/>
      <w:jc w:val="center"/>
    </w:pPr>
    <w:rPr>
      <w:sz w:val="18"/>
      <w:szCs w:val="18"/>
    </w:rPr>
  </w:style>
  <w:style w:type="paragraph" w:styleId="16">
    <w:name w:val="List Paragraph"/>
    <w:basedOn w:val="1"/>
    <w:qFormat/>
    <w:uiPriority w:val="99"/>
    <w:pPr>
      <w:ind w:firstLine="420" w:firstLineChars="200"/>
    </w:pPr>
  </w:style>
  <w:style w:type="character" w:customStyle="1" w:styleId="17">
    <w:name w:val="页眉 Char"/>
    <w:basedOn w:val="15"/>
    <w:link w:val="13"/>
    <w:qFormat/>
    <w:uiPriority w:val="99"/>
    <w:rPr>
      <w:sz w:val="18"/>
      <w:szCs w:val="18"/>
    </w:rPr>
  </w:style>
  <w:style w:type="character" w:customStyle="1" w:styleId="18">
    <w:name w:val="页脚 Char"/>
    <w:basedOn w:val="15"/>
    <w:link w:val="12"/>
    <w:qFormat/>
    <w:uiPriority w:val="99"/>
    <w:rPr>
      <w:sz w:val="18"/>
      <w:szCs w:val="18"/>
    </w:rPr>
  </w:style>
  <w:style w:type="character" w:customStyle="1" w:styleId="19">
    <w:name w:val="批注框文本 Char"/>
    <w:basedOn w:val="15"/>
    <w:link w:val="11"/>
    <w:semiHidden/>
    <w:qFormat/>
    <w:uiPriority w:val="99"/>
    <w:rPr>
      <w:sz w:val="18"/>
      <w:szCs w:val="18"/>
    </w:rPr>
  </w:style>
  <w:style w:type="character" w:customStyle="1" w:styleId="20">
    <w:name w:val="标题 2 Char"/>
    <w:basedOn w:val="15"/>
    <w:link w:val="7"/>
    <w:qFormat/>
    <w:uiPriority w:val="0"/>
    <w:rPr>
      <w:rFonts w:ascii="Arial" w:hAnsi="Arial" w:eastAsia="黑体" w:cs="Times New Roman"/>
      <w:b/>
      <w:bCs/>
      <w:sz w:val="32"/>
      <w:szCs w:val="32"/>
    </w:rPr>
  </w:style>
  <w:style w:type="character" w:customStyle="1" w:styleId="21">
    <w:name w:val="正文文本 3 Char"/>
    <w:basedOn w:val="15"/>
    <w:link w:val="8"/>
    <w:qFormat/>
    <w:uiPriority w:val="0"/>
    <w:rPr>
      <w:rFonts w:ascii="仿宋_GB2312" w:hAnsi="Arial" w:eastAsia="仿宋_GB2312" w:cs="Times New Roman"/>
      <w:bCs/>
      <w:sz w:val="28"/>
      <w:szCs w:val="28"/>
    </w:rPr>
  </w:style>
  <w:style w:type="character" w:customStyle="1" w:styleId="22">
    <w:name w:val="纯文本 Char"/>
    <w:basedOn w:val="15"/>
    <w:semiHidden/>
    <w:qFormat/>
    <w:uiPriority w:val="99"/>
    <w:rPr>
      <w:rFonts w:ascii="宋体" w:hAnsi="Courier New" w:eastAsia="宋体" w:cs="Courier New"/>
      <w:szCs w:val="21"/>
    </w:rPr>
  </w:style>
  <w:style w:type="character" w:customStyle="1" w:styleId="23">
    <w:name w:val="纯文本 Char1"/>
    <w:link w:val="9"/>
    <w:qFormat/>
    <w:locked/>
    <w:uiPriority w:val="0"/>
    <w:rPr>
      <w:rFonts w:ascii="宋体" w:hAnsi="Courier New" w:eastAsia="宋体" w:cs="Times New Roman"/>
      <w:szCs w:val="21"/>
    </w:rPr>
  </w:style>
  <w:style w:type="character" w:customStyle="1" w:styleId="24">
    <w:name w:val="日期 Char"/>
    <w:basedOn w:val="15"/>
    <w:link w:val="10"/>
    <w:qFormat/>
    <w:uiPriority w:val="0"/>
  </w:style>
  <w:style w:type="character" w:customStyle="1" w:styleId="25">
    <w:name w:val="标题 1 Char"/>
    <w:basedOn w:val="15"/>
    <w:link w:val="6"/>
    <w:qFormat/>
    <w:uiPriority w:val="9"/>
    <w:rPr>
      <w:b/>
      <w:bCs/>
      <w:kern w:val="44"/>
      <w:sz w:val="44"/>
      <w:szCs w:val="44"/>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F24EFEB-B3C6-4B79-A849-FB6578C78616}">
  <ds:schemaRefs/>
</ds:datastoreItem>
</file>

<file path=docProps/app.xml><?xml version="1.0" encoding="utf-8"?>
<Properties xmlns="http://schemas.openxmlformats.org/officeDocument/2006/extended-properties" xmlns:vt="http://schemas.openxmlformats.org/officeDocument/2006/docPropsVTypes">
  <Template>Normal</Template>
  <Pages>12</Pages>
  <Words>3795</Words>
  <Characters>3945</Characters>
  <Lines>12</Lines>
  <Paragraphs>3</Paragraphs>
  <TotalTime>5</TotalTime>
  <ScaleCrop>false</ScaleCrop>
  <LinksUpToDate>false</LinksUpToDate>
  <CharactersWithSpaces>4090</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2019-02-25T07:00:00Z</dcterms:created>
  <dc:creator>www</dc:creator>
  <cp:lastModifiedBy>王晴文</cp:lastModifiedBy>
  <cp:lastPrinted>2023-02-13T03:04:00Z</cp:lastPrinted>
  <dcterms:modified xsi:type="dcterms:W3CDTF">2026-06-03T09:13:32Z</dcterms:modified>
  <cp:revision>109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4B05C3F7DFAB4D3FAD05E12DC98E3EF1_13</vt:lpwstr>
  </property>
  <property fmtid="{D5CDD505-2E9C-101B-9397-08002B2CF9AE}" pid="4" name="KSOTemplateDocerSaveRecord">
    <vt:lpwstr>eyJoZGlkIjoiOTU2NTJjMGY2NTBlMmE4NTQwMWU1NjY1MzIxY2Q4MDkiLCJ1c2VySWQiOiIyODczNDgzODcifQ==</vt:lpwstr>
  </property>
</Properties>
</file>